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956D0" w14:textId="77777777" w:rsidR="00DE5CBB" w:rsidRPr="00BE15DE" w:rsidRDefault="00DE5CBB" w:rsidP="00DE5CBB">
      <w:pPr>
        <w:pStyle w:val="Footer"/>
        <w:tabs>
          <w:tab w:val="right" w:pos="8789"/>
        </w:tabs>
        <w:ind w:left="709" w:right="850"/>
        <w:rPr>
          <w:rStyle w:val="Strong"/>
          <w:rFonts w:ascii="Helvetica" w:hAnsi="Helvetica"/>
          <w:color w:val="333333"/>
          <w:sz w:val="29"/>
          <w:szCs w:val="28"/>
          <w:shd w:val="clear" w:color="auto" w:fill="FFFFFF"/>
        </w:rPr>
      </w:pPr>
      <w:r>
        <w:rPr>
          <w:noProof/>
          <w:lang w:val="en-US"/>
        </w:rPr>
        <w:drawing>
          <wp:anchor distT="0" distB="0" distL="114300" distR="114300" simplePos="0" relativeHeight="251660288" behindDoc="0" locked="0" layoutInCell="1" allowOverlap="1" wp14:anchorId="7922FE0C" wp14:editId="49C646BF">
            <wp:simplePos x="0" y="0"/>
            <wp:positionH relativeFrom="column">
              <wp:posOffset>4763369</wp:posOffset>
            </wp:positionH>
            <wp:positionV relativeFrom="paragraph">
              <wp:posOffset>28939</wp:posOffset>
            </wp:positionV>
            <wp:extent cx="1072983" cy="44256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894" cy="444182"/>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bCs/>
          <w:noProof/>
          <w:sz w:val="14"/>
          <w:szCs w:val="14"/>
          <w:lang w:val="en-US"/>
        </w:rPr>
        <w:drawing>
          <wp:anchor distT="0" distB="0" distL="114300" distR="114300" simplePos="0" relativeHeight="251661312" behindDoc="0" locked="0" layoutInCell="1" allowOverlap="1" wp14:anchorId="135D0BFF" wp14:editId="73A1F76C">
            <wp:simplePos x="0" y="0"/>
            <wp:positionH relativeFrom="column">
              <wp:posOffset>3261360</wp:posOffset>
            </wp:positionH>
            <wp:positionV relativeFrom="paragraph">
              <wp:posOffset>26035</wp:posOffset>
            </wp:positionV>
            <wp:extent cx="1409700" cy="376555"/>
            <wp:effectExtent l="0" t="0" r="0" b="4445"/>
            <wp:wrapNone/>
            <wp:docPr id="2" name="Picture 2" descr="D:\Jurnal JOSH INSUD\IS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JOSH INSUD\ISS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Helvetica" w:hAnsi="Helvetica"/>
          <w:color w:val="333333"/>
          <w:sz w:val="29"/>
          <w:szCs w:val="28"/>
          <w:shd w:val="clear" w:color="auto" w:fill="FFFFFF"/>
        </w:rPr>
        <w:t>JOSh</w:t>
      </w:r>
      <w:r w:rsidRPr="00BE15DE">
        <w:rPr>
          <w:rStyle w:val="Strong"/>
          <w:rFonts w:ascii="Helvetica" w:hAnsi="Helvetica"/>
          <w:color w:val="333333"/>
          <w:sz w:val="29"/>
          <w:szCs w:val="28"/>
          <w:shd w:val="clear" w:color="auto" w:fill="FFFFFF"/>
        </w:rPr>
        <w:t xml:space="preserve"> : </w:t>
      </w:r>
      <w:r>
        <w:rPr>
          <w:rStyle w:val="Strong"/>
          <w:rFonts w:ascii="Helvetica" w:hAnsi="Helvetica"/>
          <w:color w:val="333333"/>
          <w:sz w:val="29"/>
          <w:szCs w:val="28"/>
          <w:shd w:val="clear" w:color="auto" w:fill="FFFFFF"/>
        </w:rPr>
        <w:t>Journal of Sharia</w:t>
      </w:r>
    </w:p>
    <w:p w14:paraId="14D42954" w14:textId="77777777" w:rsidR="00DE5CBB" w:rsidRPr="002025DB" w:rsidRDefault="00DE5CBB" w:rsidP="00DE5CBB">
      <w:pPr>
        <w:pStyle w:val="Footer"/>
        <w:tabs>
          <w:tab w:val="right" w:pos="8789"/>
        </w:tabs>
        <w:ind w:left="709" w:right="850"/>
        <w:rPr>
          <w:rFonts w:cstheme="minorHAnsi"/>
          <w:b/>
          <w:bCs/>
          <w:sz w:val="20"/>
          <w:szCs w:val="16"/>
        </w:rPr>
      </w:pPr>
      <w:r>
        <w:rPr>
          <w:rFonts w:cstheme="minorHAnsi"/>
          <w:b/>
          <w:bCs/>
          <w:sz w:val="20"/>
          <w:szCs w:val="16"/>
        </w:rPr>
        <w:t xml:space="preserve"> Volume</w:t>
      </w:r>
      <w:r w:rsidRPr="002025DB">
        <w:rPr>
          <w:rFonts w:cstheme="minorHAnsi"/>
          <w:b/>
          <w:bCs/>
          <w:sz w:val="20"/>
          <w:szCs w:val="16"/>
        </w:rPr>
        <w:t xml:space="preserve">. </w:t>
      </w:r>
      <w:r>
        <w:rPr>
          <w:rFonts w:cstheme="minorHAnsi"/>
          <w:b/>
          <w:bCs/>
          <w:sz w:val="20"/>
          <w:szCs w:val="16"/>
        </w:rPr>
        <w:t>02</w:t>
      </w:r>
      <w:r w:rsidRPr="002025DB">
        <w:rPr>
          <w:rFonts w:cstheme="minorHAnsi"/>
          <w:b/>
          <w:bCs/>
          <w:sz w:val="20"/>
          <w:szCs w:val="16"/>
        </w:rPr>
        <w:t xml:space="preserve">  Nomor. </w:t>
      </w:r>
      <w:r>
        <w:rPr>
          <w:rFonts w:cstheme="minorHAnsi"/>
          <w:b/>
          <w:bCs/>
          <w:sz w:val="20"/>
          <w:szCs w:val="16"/>
        </w:rPr>
        <w:t>02</w:t>
      </w:r>
      <w:r w:rsidRPr="002025DB">
        <w:rPr>
          <w:rFonts w:cstheme="minorHAnsi"/>
          <w:b/>
          <w:bCs/>
          <w:sz w:val="20"/>
          <w:szCs w:val="16"/>
        </w:rPr>
        <w:t xml:space="preserve">  J</w:t>
      </w:r>
      <w:r>
        <w:rPr>
          <w:rFonts w:cstheme="minorHAnsi"/>
          <w:b/>
          <w:bCs/>
          <w:sz w:val="20"/>
          <w:szCs w:val="16"/>
        </w:rPr>
        <w:t>uni</w:t>
      </w:r>
      <w:r w:rsidRPr="002025DB">
        <w:rPr>
          <w:rFonts w:cstheme="minorHAnsi"/>
          <w:b/>
          <w:bCs/>
          <w:sz w:val="20"/>
          <w:szCs w:val="16"/>
        </w:rPr>
        <w:t xml:space="preserve">, 2023  </w:t>
      </w:r>
    </w:p>
    <w:p w14:paraId="2A424519" w14:textId="77777777" w:rsidR="00DE5CBB" w:rsidRPr="009F1B05" w:rsidRDefault="00DE5CBB" w:rsidP="00DE5CBB">
      <w:pPr>
        <w:pStyle w:val="Footer"/>
        <w:ind w:left="709" w:right="850"/>
        <w:jc w:val="both"/>
        <w:rPr>
          <w:rFonts w:eastAsia="Times New Roman" w:cstheme="minorHAnsi"/>
          <w:b/>
          <w:bCs/>
          <w:sz w:val="14"/>
          <w:szCs w:val="14"/>
          <w:lang w:val="en-AU"/>
        </w:rPr>
      </w:pPr>
      <w:r w:rsidRPr="002025DB">
        <w:rPr>
          <w:rFonts w:eastAsia="Times New Roman" w:cstheme="minorHAnsi"/>
          <w:b/>
          <w:bCs/>
          <w:sz w:val="14"/>
          <w:szCs w:val="14"/>
          <w:lang w:val="en-AU"/>
        </w:rPr>
        <w:tab/>
      </w:r>
    </w:p>
    <w:p w14:paraId="4B6191CB" w14:textId="77777777" w:rsidR="00DE5CBB" w:rsidRPr="00404336" w:rsidRDefault="00DE5CBB" w:rsidP="00DE5CBB">
      <w:pPr>
        <w:spacing w:line="240" w:lineRule="auto"/>
        <w:jc w:val="center"/>
        <w:rPr>
          <w:rFonts w:ascii="Cambria" w:hAnsi="Cambria" w:cs="Times New Roman"/>
          <w:b/>
          <w:bCs/>
          <w:sz w:val="26"/>
          <w:szCs w:val="26"/>
        </w:rPr>
      </w:pPr>
      <w:r>
        <w:rPr>
          <w:rFonts w:ascii="Cambria" w:hAnsi="Cambria" w:cs="Times New Roman"/>
          <w:b/>
          <w:bCs/>
          <w:noProof/>
          <w:sz w:val="26"/>
          <w:szCs w:val="26"/>
          <w:lang w:val="en-US"/>
        </w:rPr>
        <mc:AlternateContent>
          <mc:Choice Requires="wps">
            <w:drawing>
              <wp:anchor distT="0" distB="0" distL="114300" distR="114300" simplePos="0" relativeHeight="251659264" behindDoc="0" locked="0" layoutInCell="1" allowOverlap="1" wp14:anchorId="279DD682" wp14:editId="6D3AFED5">
                <wp:simplePos x="0" y="0"/>
                <wp:positionH relativeFrom="margin">
                  <wp:posOffset>0</wp:posOffset>
                </wp:positionH>
                <wp:positionV relativeFrom="paragraph">
                  <wp:posOffset>63923</wp:posOffset>
                </wp:positionV>
                <wp:extent cx="6108066"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610806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05pt" to="480.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" strokecolor="black [3200]" strokeweight="3pt">
                <v:shadow on="t" color="black" opacity="22937f" origin=",.5" offset="0,.63889mm"/>
                <w10:wrap anchorx="margin"/>
              </v:line>
            </w:pict>
          </mc:Fallback>
        </mc:AlternateContent>
      </w:r>
    </w:p>
    <w:p w14:paraId="08E6CAB9" w14:textId="6B1B2AF3" w:rsidR="00C47374" w:rsidRPr="00673596" w:rsidRDefault="0008497B" w:rsidP="00E20579">
      <w:pPr>
        <w:spacing w:before="120" w:after="120"/>
        <w:ind w:firstLine="709"/>
        <w:rPr>
          <w:rFonts w:ascii="Calibri" w:hAnsi="Calibri"/>
          <w:lang w:val="es-ES"/>
        </w:rPr>
      </w:pPr>
      <w:r w:rsidRPr="00E20579">
        <w:rPr>
          <w:rFonts w:ascii="Garamond" w:hAnsi="Garamond"/>
          <w:b/>
          <w:bCs/>
          <w:sz w:val="28"/>
          <w:szCs w:val="28"/>
        </w:rPr>
        <w:t>PER</w:t>
      </w:r>
      <w:r w:rsidR="00E20579" w:rsidRPr="00E20579">
        <w:rPr>
          <w:rFonts w:ascii="Garamond" w:hAnsi="Garamond"/>
          <w:b/>
          <w:bCs/>
          <w:sz w:val="28"/>
          <w:szCs w:val="28"/>
        </w:rPr>
        <w:t xml:space="preserve">ATURAN </w:t>
      </w:r>
      <w:r w:rsidRPr="00E20579">
        <w:rPr>
          <w:rFonts w:ascii="Garamond" w:hAnsi="Garamond"/>
          <w:b/>
          <w:bCs/>
          <w:sz w:val="28"/>
          <w:szCs w:val="28"/>
        </w:rPr>
        <w:t>DA</w:t>
      </w:r>
      <w:r w:rsidR="00E20579" w:rsidRPr="00E20579">
        <w:rPr>
          <w:rFonts w:ascii="Garamond" w:hAnsi="Garamond"/>
          <w:b/>
          <w:bCs/>
          <w:sz w:val="28"/>
          <w:szCs w:val="28"/>
        </w:rPr>
        <w:t>ERAH</w:t>
      </w:r>
      <w:r w:rsidRPr="00E20579">
        <w:rPr>
          <w:rFonts w:ascii="Garamond" w:hAnsi="Garamond"/>
          <w:b/>
          <w:bCs/>
          <w:sz w:val="28"/>
          <w:szCs w:val="28"/>
        </w:rPr>
        <w:t xml:space="preserve"> SYARIAH DAN PROBLEM DILEMATIS</w:t>
      </w:r>
      <w:r w:rsidR="00245A22" w:rsidRPr="00E20579">
        <w:rPr>
          <w:rFonts w:ascii="Garamond" w:hAnsi="Garamond"/>
          <w:b/>
          <w:sz w:val="28"/>
        </w:rPr>
        <w:t xml:space="preserve"> </w:t>
      </w:r>
    </w:p>
    <w:p w14:paraId="18FBDD85" w14:textId="57F0841C" w:rsidR="006E7964" w:rsidRPr="00DE5CBB" w:rsidRDefault="009A4133" w:rsidP="00DE5CBB">
      <w:pPr>
        <w:spacing w:after="0" w:line="240" w:lineRule="auto"/>
        <w:jc w:val="center"/>
        <w:rPr>
          <w:rFonts w:ascii="Garamond" w:hAnsi="Garamond" w:cstheme="majorHAnsi"/>
          <w:b/>
          <w:bCs/>
          <w:spacing w:val="-6"/>
        </w:rPr>
      </w:pPr>
      <w:r>
        <w:rPr>
          <w:rFonts w:ascii="Garamond" w:hAnsi="Garamond"/>
          <w:b/>
        </w:rPr>
        <w:t>Siti Al Fiyah</w:t>
      </w:r>
      <w:r w:rsidR="00DE5CBB" w:rsidRPr="00DE5CBB">
        <w:rPr>
          <w:rFonts w:ascii="Garamond" w:hAnsi="Garamond"/>
          <w:b/>
          <w:vertAlign w:val="superscript"/>
          <w:lang w:val="en-US"/>
        </w:rPr>
        <w:t>1)</w:t>
      </w:r>
      <w:r w:rsidR="00DE5CBB">
        <w:rPr>
          <w:rFonts w:ascii="Garamond" w:hAnsi="Garamond"/>
          <w:b/>
          <w:vertAlign w:val="subscript"/>
          <w:lang w:val="en-US"/>
        </w:rPr>
        <w:t xml:space="preserve">, </w:t>
      </w:r>
      <w:r w:rsidR="00DE5CBB" w:rsidRPr="00A1194A">
        <w:rPr>
          <w:rFonts w:ascii="Garamond" w:hAnsi="Garamond" w:cstheme="majorHAnsi"/>
          <w:b/>
          <w:bCs/>
          <w:spacing w:val="-6"/>
        </w:rPr>
        <w:t>Muhyidin</w:t>
      </w:r>
      <w:r w:rsidR="00DE5CBB" w:rsidRPr="00A1194A">
        <w:rPr>
          <w:rFonts w:ascii="Garamond" w:hAnsi="Garamond" w:cstheme="majorHAnsi"/>
          <w:b/>
          <w:bCs/>
          <w:spacing w:val="-6"/>
          <w:vertAlign w:val="superscript"/>
        </w:rPr>
        <w:t>2</w:t>
      </w:r>
      <w:r w:rsidR="00DE5CBB" w:rsidRPr="00A1194A">
        <w:rPr>
          <w:rFonts w:ascii="Garamond" w:hAnsi="Garamond" w:cstheme="majorHAnsi"/>
          <w:b/>
          <w:bCs/>
          <w:spacing w:val="-6"/>
          <w:vertAlign w:val="superscript"/>
          <w:lang w:val="fr-FR"/>
        </w:rPr>
        <w:t>)</w:t>
      </w:r>
      <w:r>
        <w:rPr>
          <w:rFonts w:ascii="Garamond" w:hAnsi="Garamond"/>
          <w:b/>
        </w:rPr>
        <w:t xml:space="preserve"> </w:t>
      </w:r>
    </w:p>
    <w:p w14:paraId="50222FB3" w14:textId="31C8B902" w:rsidR="009A4133" w:rsidRDefault="00DE5CBB" w:rsidP="009A4133">
      <w:pPr>
        <w:spacing w:after="0" w:line="240" w:lineRule="auto"/>
        <w:jc w:val="center"/>
        <w:rPr>
          <w:rFonts w:ascii="Garamond" w:hAnsi="Garamond"/>
          <w:sz w:val="20"/>
          <w:szCs w:val="20"/>
          <w:lang w:val="en-US"/>
        </w:rPr>
      </w:pPr>
      <w:r>
        <w:rPr>
          <w:rFonts w:ascii="Garamond" w:hAnsi="Garamond"/>
          <w:sz w:val="20"/>
          <w:szCs w:val="20"/>
          <w:vertAlign w:val="superscript"/>
          <w:lang w:val="en-US"/>
        </w:rPr>
        <w:t>1</w:t>
      </w:r>
      <w:r w:rsidR="0072774A" w:rsidRPr="006E7964">
        <w:rPr>
          <w:rFonts w:ascii="Garamond" w:hAnsi="Garamond"/>
          <w:sz w:val="20"/>
          <w:szCs w:val="20"/>
        </w:rPr>
        <w:t>Institu</w:t>
      </w:r>
      <w:r w:rsidR="004014C4" w:rsidRPr="006E7964">
        <w:rPr>
          <w:rFonts w:ascii="Garamond" w:hAnsi="Garamond"/>
          <w:sz w:val="20"/>
          <w:szCs w:val="20"/>
        </w:rPr>
        <w:t>t Pesantren Sunan Drajat</w:t>
      </w:r>
      <w:r w:rsidR="00424150">
        <w:rPr>
          <w:rFonts w:ascii="Garamond" w:hAnsi="Garamond"/>
          <w:sz w:val="20"/>
          <w:szCs w:val="20"/>
        </w:rPr>
        <w:t xml:space="preserve"> Lamongan, </w:t>
      </w:r>
      <w:r w:rsidR="009A4133">
        <w:rPr>
          <w:rFonts w:ascii="Garamond" w:hAnsi="Garamond"/>
          <w:sz w:val="20"/>
          <w:szCs w:val="20"/>
        </w:rPr>
        <w:t>Indonesia</w:t>
      </w:r>
    </w:p>
    <w:p w14:paraId="15295889" w14:textId="2C604D87" w:rsidR="00DE5CBB" w:rsidRPr="00DE5CBB" w:rsidRDefault="00DE5CBB" w:rsidP="00DE5CBB">
      <w:pPr>
        <w:spacing w:after="0" w:line="240" w:lineRule="auto"/>
        <w:jc w:val="center"/>
        <w:rPr>
          <w:rFonts w:ascii="Garamond" w:hAnsi="Garamond"/>
          <w:sz w:val="20"/>
          <w:szCs w:val="20"/>
          <w:lang w:val="en-US"/>
        </w:rPr>
      </w:pPr>
      <w:r>
        <w:rPr>
          <w:rFonts w:ascii="Garamond" w:hAnsi="Garamond"/>
          <w:sz w:val="20"/>
          <w:szCs w:val="20"/>
          <w:vertAlign w:val="superscript"/>
          <w:lang w:val="en-US"/>
        </w:rPr>
        <w:t>2</w:t>
      </w:r>
      <w:r w:rsidRPr="006E7964">
        <w:rPr>
          <w:rFonts w:ascii="Garamond" w:hAnsi="Garamond"/>
          <w:sz w:val="20"/>
          <w:szCs w:val="20"/>
        </w:rPr>
        <w:t>Institut Pesantren Sunan Drajat</w:t>
      </w:r>
      <w:r>
        <w:rPr>
          <w:rFonts w:ascii="Garamond" w:hAnsi="Garamond"/>
          <w:sz w:val="20"/>
          <w:szCs w:val="20"/>
        </w:rPr>
        <w:t xml:space="preserve"> Lamongan, Indonesia</w:t>
      </w:r>
    </w:p>
    <w:p w14:paraId="27D4052B" w14:textId="247EE1D9" w:rsidR="0072774A" w:rsidRPr="00D12FED" w:rsidRDefault="0072774A" w:rsidP="009A4133">
      <w:pPr>
        <w:spacing w:after="0" w:line="240" w:lineRule="auto"/>
        <w:jc w:val="center"/>
        <w:rPr>
          <w:rFonts w:ascii="Garamond" w:hAnsi="Garamond"/>
          <w:sz w:val="20"/>
          <w:szCs w:val="20"/>
        </w:rPr>
      </w:pPr>
      <w:r w:rsidRPr="006E7964">
        <w:rPr>
          <w:rFonts w:ascii="Garamond" w:hAnsi="Garamond"/>
          <w:sz w:val="20"/>
          <w:szCs w:val="20"/>
        </w:rPr>
        <w:t>Email :</w:t>
      </w:r>
      <w:r w:rsidR="009564A5" w:rsidRPr="00DE5CBB">
        <w:rPr>
          <w:rFonts w:ascii="Garamond" w:hAnsi="Garamond"/>
          <w:color w:val="000000" w:themeColor="text1"/>
          <w:sz w:val="20"/>
          <w:szCs w:val="20"/>
        </w:rPr>
        <w:t xml:space="preserve"> </w:t>
      </w:r>
      <w:hyperlink r:id="rId11" w:history="1">
        <w:r w:rsidR="00DE5CBB" w:rsidRPr="00D12FED">
          <w:rPr>
            <w:rStyle w:val="Hyperlink"/>
            <w:rFonts w:ascii="Garamond" w:hAnsi="Garamond"/>
            <w:sz w:val="20"/>
            <w:szCs w:val="20"/>
            <w:u w:val="none"/>
          </w:rPr>
          <w:t>sitisalfiah706@gmail.com</w:t>
        </w:r>
        <w:r w:rsidR="00DE5CBB" w:rsidRPr="00D12FED">
          <w:rPr>
            <w:rStyle w:val="Hyperlink"/>
            <w:rFonts w:ascii="Garamond" w:hAnsi="Garamond"/>
            <w:sz w:val="20"/>
            <w:szCs w:val="20"/>
            <w:u w:val="none"/>
            <w:vertAlign w:val="superscript"/>
            <w:lang w:val="en-US"/>
          </w:rPr>
          <w:t>2</w:t>
        </w:r>
      </w:hyperlink>
      <w:r w:rsidR="00DE5CBB" w:rsidRPr="00D12FED">
        <w:rPr>
          <w:rStyle w:val="Hyperlink"/>
          <w:rFonts w:ascii="Garamond" w:hAnsi="Garamond"/>
          <w:color w:val="000000" w:themeColor="text1"/>
          <w:sz w:val="20"/>
          <w:szCs w:val="20"/>
          <w:u w:val="none"/>
          <w:vertAlign w:val="superscript"/>
          <w:lang w:val="en-US"/>
        </w:rPr>
        <w:t>)</w:t>
      </w:r>
      <w:r w:rsidR="00DE5CBB" w:rsidRPr="00D12FED">
        <w:rPr>
          <w:rStyle w:val="Hyperlink"/>
          <w:rFonts w:ascii="Garamond" w:hAnsi="Garamond"/>
          <w:color w:val="000000" w:themeColor="text1"/>
          <w:sz w:val="20"/>
          <w:szCs w:val="20"/>
          <w:u w:val="none"/>
          <w:vertAlign w:val="subscript"/>
          <w:lang w:val="en-US"/>
        </w:rPr>
        <w:t xml:space="preserve">, </w:t>
      </w:r>
      <w:r w:rsidR="00DE5CBB" w:rsidRPr="00D12FED">
        <w:rPr>
          <w:rStyle w:val="Hyperlink"/>
          <w:rFonts w:ascii="Garamond" w:hAnsi="Garamond"/>
          <w:sz w:val="20"/>
          <w:szCs w:val="20"/>
          <w:u w:val="none"/>
        </w:rPr>
        <w:t>muhyidin059@gmail.com</w:t>
      </w:r>
      <w:r w:rsidR="00DE5CBB" w:rsidRPr="00D12FED">
        <w:rPr>
          <w:rStyle w:val="Hyperlink"/>
          <w:rFonts w:ascii="Garamond" w:hAnsi="Garamond"/>
          <w:sz w:val="20"/>
          <w:szCs w:val="20"/>
          <w:u w:val="none"/>
          <w:vertAlign w:val="superscript"/>
        </w:rPr>
        <w:t>2</w:t>
      </w:r>
      <w:r w:rsidR="00DE5CBB" w:rsidRPr="00D12FED">
        <w:rPr>
          <w:rStyle w:val="Hyperlink"/>
          <w:rFonts w:ascii="Garamond" w:hAnsi="Garamond"/>
          <w:sz w:val="20"/>
          <w:szCs w:val="20"/>
          <w:u w:val="none"/>
          <w:vertAlign w:val="superscript"/>
          <w:lang w:val="en-US"/>
        </w:rPr>
        <w:t>)</w:t>
      </w:r>
      <w:r w:rsidR="00DE0EE5" w:rsidRPr="00D12FED">
        <w:rPr>
          <w:rFonts w:ascii="Garamond" w:hAnsi="Garamond"/>
          <w:sz w:val="20"/>
          <w:szCs w:val="20"/>
        </w:rPr>
        <w:t xml:space="preserve"> </w:t>
      </w:r>
    </w:p>
    <w:p w14:paraId="0BD707A2" w14:textId="77777777" w:rsidR="00A23779" w:rsidRPr="006E7964" w:rsidRDefault="00A23779" w:rsidP="00A23779">
      <w:pPr>
        <w:spacing w:after="0" w:line="240" w:lineRule="auto"/>
        <w:jc w:val="center"/>
        <w:rPr>
          <w:rFonts w:ascii="Garamond" w:hAnsi="Garamond"/>
          <w:sz w:val="20"/>
          <w:szCs w:val="20"/>
        </w:rPr>
      </w:pPr>
    </w:p>
    <w:p w14:paraId="6D0E3FFB" w14:textId="77777777" w:rsidR="00DA458C" w:rsidRDefault="0081089C" w:rsidP="00850423">
      <w:pPr>
        <w:spacing w:after="0"/>
        <w:ind w:left="720" w:right="707"/>
        <w:jc w:val="both"/>
        <w:rPr>
          <w:rFonts w:ascii="Garamond" w:hAnsi="Garamond"/>
          <w:color w:val="202124"/>
          <w:lang w:val="en"/>
        </w:rPr>
      </w:pPr>
      <w:r w:rsidRPr="0081089C">
        <w:rPr>
          <w:rFonts w:ascii="Garamond" w:hAnsi="Garamond"/>
          <w:b/>
        </w:rPr>
        <w:t>Abstract</w:t>
      </w:r>
      <w:r>
        <w:rPr>
          <w:rFonts w:ascii="Garamond" w:hAnsi="Garamond"/>
          <w:b/>
        </w:rPr>
        <w:t xml:space="preserve"> </w:t>
      </w:r>
      <w:r w:rsidRPr="0081089C">
        <w:rPr>
          <w:rFonts w:ascii="Garamond" w:hAnsi="Garamond"/>
        </w:rPr>
        <w:t>:</w:t>
      </w:r>
      <w:r w:rsidR="00360DA7">
        <w:rPr>
          <w:rFonts w:ascii="Garamond" w:hAnsi="Garamond"/>
        </w:rPr>
        <w:t xml:space="preserve"> </w:t>
      </w:r>
      <w:r w:rsidR="00360DA7" w:rsidRPr="00970210">
        <w:rPr>
          <w:rFonts w:ascii="Garamond" w:hAnsi="Garamond"/>
          <w:color w:val="202124"/>
          <w:lang w:val="en"/>
        </w:rPr>
        <w:t>the results of the Reformation have made a fundamental change in the Indonesian constitutional system which initially adopted a centralized system to become decentralized. One of the effects of the implementation of the decentralization system in Indonesia is the emergence of Islamic regional regulations. Some of the contents of these Sharia Regional Regulations are contrary to the principles of human rights contained in the constitution. . In addition, this regulation appears to be related to the historicity of the implementation of Islamic Sharia in Indonesia since Islam entered the archipelago. Some of the contents of sharia regulations conflict with provisions in the principles of human rights both contained in human rights in an Islamic perspective and human rights contained in the Indonesian constitution. The main principle in Islamic teachings is the benefit of society which is contained in the Qur'an and Sunnah. Implementation of laws and regulations including regional regulations which are the lowest level in the hierarchy of laws and regulations must realize the main goal of the state, namely the protection of citizens' rights and in the concept of dusturiyah siyasah it is also stipulated that regulations must ensure the benefit of society as the main goal in Islamic nomocracy.</w:t>
      </w:r>
    </w:p>
    <w:p w14:paraId="6B16584D" w14:textId="20A56F22" w:rsidR="00DA458C" w:rsidRPr="00DA458C" w:rsidRDefault="0081089C" w:rsidP="00850423">
      <w:pPr>
        <w:spacing w:after="0"/>
        <w:ind w:left="720" w:right="707"/>
        <w:jc w:val="both"/>
        <w:rPr>
          <w:rFonts w:ascii="Garamond" w:hAnsi="Garamond"/>
        </w:rPr>
      </w:pPr>
      <w:r w:rsidRPr="00061DBF">
        <w:rPr>
          <w:rFonts w:ascii="Garamond" w:hAnsi="Garamond"/>
          <w:b/>
          <w:sz w:val="20"/>
          <w:szCs w:val="20"/>
        </w:rPr>
        <w:t xml:space="preserve">Keywords </w:t>
      </w:r>
      <w:r w:rsidRPr="00061DBF">
        <w:rPr>
          <w:rFonts w:ascii="Garamond" w:hAnsi="Garamond"/>
          <w:sz w:val="20"/>
          <w:szCs w:val="20"/>
        </w:rPr>
        <w:t xml:space="preserve">: </w:t>
      </w:r>
      <w:r w:rsidR="00DA458C" w:rsidRPr="00DA458C">
        <w:rPr>
          <w:rStyle w:val="y2iqfc"/>
          <w:rFonts w:ascii="Garamond" w:hAnsi="Garamond"/>
          <w:i/>
          <w:iCs/>
          <w:color w:val="202124"/>
          <w:lang w:val="en"/>
        </w:rPr>
        <w:t>sharia regulations, autonomy, decentraliz</w:t>
      </w:r>
      <w:r w:rsidR="00DA458C">
        <w:rPr>
          <w:rStyle w:val="y2iqfc"/>
          <w:rFonts w:ascii="Garamond" w:hAnsi="Garamond"/>
          <w:i/>
          <w:iCs/>
          <w:color w:val="202124"/>
        </w:rPr>
        <w:t>ed</w:t>
      </w:r>
    </w:p>
    <w:p w14:paraId="3115E414" w14:textId="77777777" w:rsidR="00850423" w:rsidRDefault="00850423" w:rsidP="00850423">
      <w:pPr>
        <w:spacing w:after="0"/>
        <w:ind w:left="720" w:right="707"/>
        <w:jc w:val="both"/>
        <w:rPr>
          <w:rFonts w:ascii="Garamond" w:hAnsi="Garamond"/>
        </w:rPr>
      </w:pPr>
      <w:r w:rsidRPr="00C118F1">
        <w:rPr>
          <w:rFonts w:ascii="Garamond" w:hAnsi="Garamond"/>
          <w:b/>
        </w:rPr>
        <w:t>Ab</w:t>
      </w:r>
      <w:r>
        <w:rPr>
          <w:rFonts w:ascii="Garamond" w:hAnsi="Garamond"/>
          <w:b/>
        </w:rPr>
        <w:t>s</w:t>
      </w:r>
      <w:r w:rsidRPr="00C118F1">
        <w:rPr>
          <w:rFonts w:ascii="Garamond" w:hAnsi="Garamond"/>
          <w:b/>
        </w:rPr>
        <w:t>trak</w:t>
      </w:r>
      <w:r w:rsidRPr="00B660CC">
        <w:rPr>
          <w:rFonts w:ascii="Garamond" w:hAnsi="Garamond"/>
        </w:rPr>
        <w:t xml:space="preserve"> : </w:t>
      </w:r>
      <w:r w:rsidRPr="00970210">
        <w:rPr>
          <w:rFonts w:ascii="Garamond" w:hAnsi="Garamond"/>
        </w:rPr>
        <w:t>hasil dari Reformasi telah menjadikan perubahan yang mendasar dalam sistem ketatanegaraan Indonesia yang pada awalnya menganut sistem sentralisasi menjadi desentralisasi. Salah satu efek pemberlakuan sistem desentralisasi di Indonesia adalah munculnya Perda-Perda Syariah. Sebagian muatan muatan dari Perda-Perda Syariah tersebut telah bertentangan dengan prinsip-prinsip hak asasi manusia yang dimuat dalam konstitusi.  Selain itu,</w:t>
      </w:r>
      <w:r>
        <w:rPr>
          <w:rFonts w:ascii="Garamond" w:hAnsi="Garamond"/>
        </w:rPr>
        <w:t xml:space="preserve"> </w:t>
      </w:r>
      <w:r w:rsidRPr="00970210">
        <w:rPr>
          <w:rFonts w:ascii="Garamond" w:hAnsi="Garamond"/>
        </w:rPr>
        <w:t>Peraturan tersebut muncul terkait dengan historisitas penerapan Syariat Islam</w:t>
      </w:r>
      <w:r>
        <w:rPr>
          <w:rFonts w:ascii="Garamond" w:hAnsi="Garamond"/>
        </w:rPr>
        <w:t xml:space="preserve"> </w:t>
      </w:r>
      <w:r w:rsidRPr="00970210">
        <w:rPr>
          <w:rFonts w:ascii="Garamond" w:hAnsi="Garamond"/>
        </w:rPr>
        <w:t>di Indonesia sejak Islam masuk ke Nusantara. Beberapa isi peraturan syariah</w:t>
      </w:r>
      <w:r>
        <w:rPr>
          <w:rFonts w:ascii="Garamond" w:hAnsi="Garamond"/>
        </w:rPr>
        <w:t xml:space="preserve"> </w:t>
      </w:r>
      <w:r w:rsidRPr="00970210">
        <w:rPr>
          <w:rFonts w:ascii="Garamond" w:hAnsi="Garamond"/>
        </w:rPr>
        <w:t xml:space="preserve">bertentangan dengan ketentuan dalam prinsip-prinsip hak asasi manusia baik yang terkandung dalam manusia HAM dalam perspektif Islam dan hak asasi manusia yang terkandung dalam konstitusi </w:t>
      </w:r>
      <w:r>
        <w:rPr>
          <w:rFonts w:ascii="Garamond" w:hAnsi="Garamond"/>
        </w:rPr>
        <w:t>Indonesia</w:t>
      </w:r>
      <w:r w:rsidRPr="00970210">
        <w:rPr>
          <w:rFonts w:ascii="Garamond" w:hAnsi="Garamond"/>
        </w:rPr>
        <w:t>.</w:t>
      </w:r>
      <w:r>
        <w:rPr>
          <w:rFonts w:ascii="Garamond" w:hAnsi="Garamond"/>
        </w:rPr>
        <w:t xml:space="preserve"> </w:t>
      </w:r>
      <w:r w:rsidRPr="00970210">
        <w:rPr>
          <w:rFonts w:ascii="Garamond" w:hAnsi="Garamond"/>
        </w:rPr>
        <w:t>Prinsip utama dalam ajaran Islam adalah kemaslahatan masyarakat yang tertuang dalam</w:t>
      </w:r>
      <w:r>
        <w:rPr>
          <w:rFonts w:ascii="Garamond" w:hAnsi="Garamond"/>
        </w:rPr>
        <w:t xml:space="preserve"> Al-</w:t>
      </w:r>
      <w:r w:rsidRPr="00970210">
        <w:rPr>
          <w:rFonts w:ascii="Garamond" w:hAnsi="Garamond"/>
        </w:rPr>
        <w:t>Qur’an dan Sunnah. Pelaksanaan peraturan perundang-undangan termasuk peraturan daerah</w:t>
      </w:r>
      <w:r>
        <w:rPr>
          <w:rFonts w:ascii="Garamond" w:hAnsi="Garamond"/>
        </w:rPr>
        <w:t xml:space="preserve"> </w:t>
      </w:r>
      <w:r w:rsidRPr="00970210">
        <w:rPr>
          <w:rFonts w:ascii="Garamond" w:hAnsi="Garamond"/>
        </w:rPr>
        <w:t>yang merupakan tingkatan paling bawah dalam hi</w:t>
      </w:r>
      <w:r>
        <w:rPr>
          <w:rFonts w:ascii="Garamond" w:hAnsi="Garamond"/>
        </w:rPr>
        <w:t>era</w:t>
      </w:r>
      <w:r w:rsidRPr="00970210">
        <w:rPr>
          <w:rFonts w:ascii="Garamond" w:hAnsi="Garamond"/>
        </w:rPr>
        <w:t>rki peraturan perundang-undangan harus mewujudkan tujuan pokok tersebut</w:t>
      </w:r>
      <w:r>
        <w:rPr>
          <w:rFonts w:ascii="Garamond" w:hAnsi="Garamond"/>
        </w:rPr>
        <w:t xml:space="preserve"> </w:t>
      </w:r>
      <w:r w:rsidRPr="00970210">
        <w:rPr>
          <w:rFonts w:ascii="Garamond" w:hAnsi="Garamond"/>
        </w:rPr>
        <w:t>negara yaitu perlindungan hak warga negara dan dalam konsep dusturiyah siyasah</w:t>
      </w:r>
      <w:r>
        <w:rPr>
          <w:rFonts w:ascii="Garamond" w:hAnsi="Garamond"/>
        </w:rPr>
        <w:t xml:space="preserve"> </w:t>
      </w:r>
      <w:r w:rsidRPr="00970210">
        <w:rPr>
          <w:rFonts w:ascii="Garamond" w:hAnsi="Garamond"/>
        </w:rPr>
        <w:t>ditetapkan pula bahwa regulasi harus menjamin kemaslahatan masyarakat sebagai tujuan utama dalam nomokrasi Islam.</w:t>
      </w:r>
    </w:p>
    <w:p w14:paraId="2FDB8F0F" w14:textId="77777777" w:rsidR="00850423" w:rsidRDefault="00850423" w:rsidP="00850423">
      <w:pPr>
        <w:spacing w:after="0"/>
        <w:ind w:left="720" w:right="707"/>
        <w:jc w:val="both"/>
        <w:rPr>
          <w:rFonts w:ascii="Garamond" w:hAnsi="Garamond"/>
          <w:i/>
          <w:sz w:val="20"/>
          <w:szCs w:val="20"/>
        </w:rPr>
      </w:pPr>
      <w:r w:rsidRPr="00061DBF">
        <w:rPr>
          <w:rFonts w:ascii="Garamond" w:hAnsi="Garamond"/>
          <w:b/>
          <w:sz w:val="20"/>
          <w:szCs w:val="20"/>
        </w:rPr>
        <w:t>Kata Kunci</w:t>
      </w:r>
      <w:r w:rsidRPr="00061DBF">
        <w:rPr>
          <w:rFonts w:ascii="Garamond" w:hAnsi="Garamond"/>
          <w:sz w:val="20"/>
          <w:szCs w:val="20"/>
        </w:rPr>
        <w:t xml:space="preserve"> : </w:t>
      </w:r>
      <w:r>
        <w:rPr>
          <w:rFonts w:ascii="Garamond" w:hAnsi="Garamond"/>
          <w:i/>
          <w:sz w:val="20"/>
          <w:szCs w:val="20"/>
        </w:rPr>
        <w:t>perda</w:t>
      </w:r>
      <w:r w:rsidRPr="00061DBF">
        <w:rPr>
          <w:rFonts w:ascii="Garamond" w:hAnsi="Garamond"/>
          <w:i/>
          <w:sz w:val="20"/>
          <w:szCs w:val="20"/>
        </w:rPr>
        <w:t xml:space="preserve"> </w:t>
      </w:r>
      <w:r>
        <w:rPr>
          <w:rFonts w:ascii="Garamond" w:hAnsi="Garamond"/>
          <w:i/>
          <w:sz w:val="20"/>
          <w:szCs w:val="20"/>
        </w:rPr>
        <w:t>syariah, otonomi ,desentralisasi</w:t>
      </w:r>
    </w:p>
    <w:p w14:paraId="7B8F4E41" w14:textId="534669F9" w:rsidR="00127C47" w:rsidRPr="00DA458C" w:rsidRDefault="00127C47" w:rsidP="00DF1D56">
      <w:pPr>
        <w:spacing w:after="0"/>
        <w:ind w:left="720"/>
        <w:jc w:val="both"/>
        <w:rPr>
          <w:rFonts w:ascii="Garamond" w:hAnsi="Garamond"/>
          <w:i/>
          <w:iCs/>
        </w:rPr>
      </w:pPr>
    </w:p>
    <w:p w14:paraId="43BA04D4" w14:textId="77777777" w:rsidR="00061DBF" w:rsidRDefault="00061DBF" w:rsidP="0081089C">
      <w:pPr>
        <w:spacing w:before="120" w:after="120" w:line="360" w:lineRule="auto"/>
        <w:ind w:left="720"/>
        <w:jc w:val="both"/>
        <w:rPr>
          <w:rFonts w:ascii="Garamond" w:hAnsi="Garamond"/>
          <w:i/>
        </w:rPr>
      </w:pPr>
    </w:p>
    <w:p w14:paraId="52582489" w14:textId="77777777" w:rsidR="00061DBF" w:rsidRDefault="00061DBF" w:rsidP="0081089C">
      <w:pPr>
        <w:spacing w:before="120" w:after="120" w:line="360" w:lineRule="auto"/>
        <w:ind w:left="720"/>
        <w:jc w:val="both"/>
        <w:rPr>
          <w:rFonts w:ascii="Garamond" w:hAnsi="Garamond"/>
          <w:i/>
        </w:rPr>
      </w:pPr>
    </w:p>
    <w:p w14:paraId="1A7E8EB6" w14:textId="77777777" w:rsidR="00061DBF" w:rsidRDefault="00061DBF" w:rsidP="0081089C">
      <w:pPr>
        <w:spacing w:before="120" w:after="120" w:line="360" w:lineRule="auto"/>
        <w:ind w:left="720"/>
        <w:jc w:val="both"/>
        <w:rPr>
          <w:rFonts w:ascii="Garamond" w:hAnsi="Garamond"/>
          <w:i/>
        </w:rPr>
      </w:pPr>
    </w:p>
    <w:p w14:paraId="36F85B93" w14:textId="77777777" w:rsidR="00A23779" w:rsidRPr="00D12FED" w:rsidRDefault="00A23779" w:rsidP="00DE5CBB">
      <w:pPr>
        <w:spacing w:before="120" w:after="120" w:line="360" w:lineRule="auto"/>
        <w:jc w:val="both"/>
        <w:rPr>
          <w:rFonts w:ascii="Garamond" w:hAnsi="Garamond"/>
          <w:i/>
          <w:lang w:val="en-US"/>
        </w:rPr>
      </w:pPr>
    </w:p>
    <w:p w14:paraId="70DDEBAB" w14:textId="77777777" w:rsidR="00BD1257" w:rsidRDefault="0072774A" w:rsidP="002F7A2A">
      <w:pPr>
        <w:pStyle w:val="ListParagraph"/>
        <w:numPr>
          <w:ilvl w:val="0"/>
          <w:numId w:val="1"/>
        </w:numPr>
        <w:spacing w:before="120" w:after="120" w:line="276" w:lineRule="auto"/>
        <w:ind w:left="426" w:hanging="426"/>
        <w:contextualSpacing w:val="0"/>
        <w:rPr>
          <w:rFonts w:ascii="Garamond" w:hAnsi="Garamond" w:cs="Calibri"/>
          <w:b/>
          <w:bCs/>
          <w:sz w:val="24"/>
          <w:szCs w:val="24"/>
        </w:rPr>
      </w:pPr>
      <w:r w:rsidRPr="00B660CC">
        <w:rPr>
          <w:rFonts w:ascii="Garamond" w:hAnsi="Garamond" w:cs="Calibri"/>
          <w:b/>
          <w:bCs/>
          <w:sz w:val="24"/>
          <w:szCs w:val="24"/>
        </w:rPr>
        <w:lastRenderedPageBreak/>
        <w:t xml:space="preserve">Pendahuluan </w:t>
      </w:r>
    </w:p>
    <w:p w14:paraId="2EE1DFA4" w14:textId="7334AEDC" w:rsidR="001B5784" w:rsidRPr="002F7A2A" w:rsidRDefault="00970210" w:rsidP="002F7A2A">
      <w:pPr>
        <w:spacing w:before="120" w:after="120"/>
        <w:ind w:left="426" w:firstLine="720"/>
        <w:jc w:val="both"/>
        <w:rPr>
          <w:rFonts w:ascii="Garamond" w:hAnsi="Garamond"/>
          <w:sz w:val="24"/>
          <w:szCs w:val="24"/>
        </w:rPr>
      </w:pPr>
      <w:r w:rsidRPr="002F7A2A">
        <w:rPr>
          <w:rFonts w:ascii="Garamond" w:hAnsi="Garamond"/>
          <w:sz w:val="24"/>
          <w:szCs w:val="24"/>
        </w:rPr>
        <w:t>Dalam pembukaan UUD NRI 1945 khususnya pada alinea keempat tertuang tujuan negara Indonesia yakni, (1) melindungi segenap bangsa Indonesia dan seluruh tumpah darah Indonesia; (2) memajukan kesejahteraan umum; (3) mencerdaskan kehidupan bangsa; dan (4) mewujudkan ketertiban dunia berdasarkan kemerdekaan, perdamaian abadi dan keadilan sosial. Negara Indonesia adalah negara kesatuan, hal ini termaktub dalam UUD NRI 1945 Pasal 1 ayat (1): “</w:t>
      </w:r>
      <w:r w:rsidRPr="002F7A2A">
        <w:rPr>
          <w:rFonts w:ascii="Garamond" w:hAnsi="Garamond"/>
          <w:i/>
          <w:iCs/>
          <w:sz w:val="24"/>
          <w:szCs w:val="24"/>
        </w:rPr>
        <w:t>Negara Indonesia ialah Negara Kesatuan yang berbentuk Republik</w:t>
      </w:r>
      <w:r w:rsidRPr="002F7A2A">
        <w:rPr>
          <w:rFonts w:ascii="Garamond" w:hAnsi="Garamond"/>
          <w:sz w:val="24"/>
          <w:szCs w:val="24"/>
        </w:rPr>
        <w:t>”. Negara kesatuan merupakan negara yang wilayah kekuasaannya dipisah ke daerah-daerah melalui pemberian kewenangan kepada daerah untuk mengatur dan mengurus urusan daerahnya sendiri melalui desentralisasi ataupun dekonsentrasi. Artinya bahwa pemerintah pusat memberikan hak kepada daerah yang berdasarkan pada aturan yang ada dalam undang-undang serta konstitusi.</w:t>
      </w:r>
      <w:r w:rsidR="00673596">
        <w:rPr>
          <w:rStyle w:val="FootnoteReference"/>
          <w:rFonts w:ascii="Garamond" w:hAnsi="Garamond"/>
          <w:sz w:val="24"/>
          <w:szCs w:val="24"/>
        </w:rPr>
        <w:footnoteReference w:id="1"/>
      </w:r>
    </w:p>
    <w:p w14:paraId="5FD878D7" w14:textId="05A51EFB" w:rsidR="001B5784" w:rsidRDefault="00970210" w:rsidP="002F7A2A">
      <w:pPr>
        <w:pStyle w:val="ListParagraph"/>
        <w:spacing w:before="120" w:after="120" w:line="276" w:lineRule="auto"/>
        <w:ind w:left="426" w:firstLine="708"/>
        <w:contextualSpacing w:val="0"/>
        <w:jc w:val="both"/>
        <w:rPr>
          <w:rFonts w:ascii="Garamond" w:hAnsi="Garamond"/>
          <w:sz w:val="24"/>
          <w:szCs w:val="24"/>
          <w:lang w:val="id-ID"/>
        </w:rPr>
      </w:pPr>
      <w:r w:rsidRPr="001B5784">
        <w:rPr>
          <w:rFonts w:ascii="Garamond" w:hAnsi="Garamond"/>
          <w:sz w:val="24"/>
          <w:szCs w:val="24"/>
          <w:lang w:val="id-ID"/>
        </w:rPr>
        <w:t>Semenjak bergulirnya reformasi sebagai pengejawantahan sistem demokrasi di Indonesia, telah memberikan dorongan yang sangat kuat bagi daerah untuk mengurus daerahnya sesuai dengan aspirasi masyarakat di daerah. Dengan adanya otonomi daerah, kemudian daerah berlomba-lomba untuk mengatur segala urusan yang berkaitan dengan daerahnya ke dalam Peraturan Daerah. Secara substansial, otonomi daerah memang merupakan konsensus politik antara pusat dan daerah yang memberikan peluang sebesar</w:t>
      </w:r>
      <w:r w:rsidR="00DA458C">
        <w:rPr>
          <w:rFonts w:ascii="Garamond" w:hAnsi="Garamond"/>
          <w:sz w:val="24"/>
          <w:szCs w:val="24"/>
          <w:lang w:val="id-ID"/>
        </w:rPr>
        <w:t xml:space="preserve"> </w:t>
      </w:r>
      <w:r w:rsidRPr="001B5784">
        <w:rPr>
          <w:rFonts w:ascii="Garamond" w:hAnsi="Garamond"/>
          <w:sz w:val="24"/>
          <w:szCs w:val="24"/>
          <w:lang w:val="id-ID"/>
        </w:rPr>
        <w:t>besarnya dan seluas-luasnya bagi daerah untuk mengelola daerahnya sendiri. Bahkan negara telah mengakomodir hadirnya daerah-daerah yang bersifat khusus atau bersifat istimewa sebagaimana tertuang dalam Pasal 18 ayat (1) UUD 1945.</w:t>
      </w:r>
    </w:p>
    <w:p w14:paraId="5BE31090" w14:textId="06720939" w:rsidR="00A03295" w:rsidRPr="001B5784" w:rsidRDefault="00A03295" w:rsidP="002F7A2A">
      <w:pPr>
        <w:pStyle w:val="ListParagraph"/>
        <w:spacing w:before="120" w:after="120" w:line="276" w:lineRule="auto"/>
        <w:ind w:left="426" w:firstLine="708"/>
        <w:contextualSpacing w:val="0"/>
        <w:jc w:val="both"/>
        <w:rPr>
          <w:rFonts w:ascii="Garamond" w:hAnsi="Garamond"/>
          <w:sz w:val="24"/>
          <w:szCs w:val="24"/>
          <w:lang w:val="id-ID"/>
        </w:rPr>
      </w:pPr>
      <w:r w:rsidRPr="001B5784">
        <w:rPr>
          <w:rFonts w:ascii="Garamond" w:hAnsi="Garamond"/>
          <w:sz w:val="24"/>
          <w:szCs w:val="24"/>
          <w:lang w:val="id-ID"/>
        </w:rPr>
        <w:t xml:space="preserve">Salah satu kewenangan dari pemerintah pusat yang diberikan oleh daerah adalah kewenangan untuk membentuk peraturan daerah (perda). </w:t>
      </w:r>
      <w:r w:rsidRPr="001B5784">
        <w:rPr>
          <w:rFonts w:ascii="Garamond" w:hAnsi="Garamond"/>
          <w:sz w:val="24"/>
          <w:szCs w:val="24"/>
          <w:lang w:val="es-ES"/>
        </w:rPr>
        <w:t>Aturan ini tercantum dalam Pasal 18 ayat (6) UUD NRI 1945 yang berbunyi: “Pemerintah daerah berhak menetapkan peraturan daerah dan peraturan-peraturan lain untuk melaksanakan otonomi dan tugas pembantuan”. Lebih lanjut pengaturan ini dicantumkan dalam UU Organik yakni dalam UU No. 32 Tahun 2004 Tentang Pemerintahan Daerah yang kemudian diganti oleh UU No. 23 Tahun 2014 Tentang Pemerintahan Daerah pasal 236 ayat (1) dan (2) yang berbunyi:</w:t>
      </w:r>
    </w:p>
    <w:p w14:paraId="2DF6D1AA" w14:textId="7B3958B0" w:rsidR="00A03295" w:rsidRPr="00AE17A2" w:rsidRDefault="00A03295" w:rsidP="002F7A2A">
      <w:pPr>
        <w:pStyle w:val="ListParagraph"/>
        <w:numPr>
          <w:ilvl w:val="0"/>
          <w:numId w:val="3"/>
        </w:numPr>
        <w:spacing w:before="120" w:after="120" w:line="276" w:lineRule="auto"/>
        <w:ind w:left="426" w:firstLine="708"/>
        <w:contextualSpacing w:val="0"/>
        <w:jc w:val="both"/>
        <w:rPr>
          <w:rFonts w:ascii="Garamond" w:hAnsi="Garamond"/>
          <w:sz w:val="24"/>
          <w:szCs w:val="24"/>
          <w:lang w:val="id-ID"/>
        </w:rPr>
      </w:pPr>
      <w:r w:rsidRPr="00AE17A2">
        <w:rPr>
          <w:rFonts w:ascii="Garamond" w:hAnsi="Garamond"/>
          <w:sz w:val="24"/>
          <w:szCs w:val="24"/>
          <w:lang w:val="es-ES"/>
        </w:rPr>
        <w:t>Untuk menyelenggarakan Otonomi Daerah dan Tugas Pembantuan, Daerah membentuk Pe</w:t>
      </w:r>
      <w:r w:rsidRPr="00AE17A2">
        <w:rPr>
          <w:rFonts w:ascii="Garamond" w:hAnsi="Garamond"/>
          <w:sz w:val="24"/>
          <w:szCs w:val="24"/>
          <w:lang w:val="id-ID"/>
        </w:rPr>
        <w:t>r</w:t>
      </w:r>
      <w:r w:rsidRPr="00AE17A2">
        <w:rPr>
          <w:rFonts w:ascii="Garamond" w:hAnsi="Garamond"/>
          <w:sz w:val="24"/>
          <w:szCs w:val="24"/>
          <w:lang w:val="es-ES"/>
        </w:rPr>
        <w:t>da.</w:t>
      </w:r>
    </w:p>
    <w:p w14:paraId="0E280CE3" w14:textId="77777777" w:rsidR="001B5784" w:rsidRDefault="00A03295" w:rsidP="002F7A2A">
      <w:pPr>
        <w:pStyle w:val="ListParagraph"/>
        <w:numPr>
          <w:ilvl w:val="0"/>
          <w:numId w:val="3"/>
        </w:numPr>
        <w:spacing w:before="120" w:after="120" w:line="276" w:lineRule="auto"/>
        <w:ind w:left="426" w:firstLine="708"/>
        <w:contextualSpacing w:val="0"/>
        <w:jc w:val="both"/>
        <w:rPr>
          <w:rFonts w:ascii="Garamond" w:hAnsi="Garamond"/>
          <w:sz w:val="24"/>
          <w:szCs w:val="24"/>
          <w:lang w:val="id-ID"/>
        </w:rPr>
      </w:pPr>
      <w:r w:rsidRPr="00AE17A2">
        <w:rPr>
          <w:rFonts w:ascii="Garamond" w:hAnsi="Garamond"/>
          <w:sz w:val="24"/>
          <w:szCs w:val="24"/>
          <w:lang w:val="es-ES"/>
        </w:rPr>
        <w:t>Perda sebagaimana dimaksud pada ayat (1) dibentuk oleh DPRD dengan persetujuan bersama kepala Daerah</w:t>
      </w:r>
      <w:r w:rsidRPr="00AE17A2">
        <w:rPr>
          <w:rFonts w:ascii="Garamond" w:hAnsi="Garamond"/>
          <w:sz w:val="24"/>
          <w:szCs w:val="24"/>
          <w:lang w:val="id-ID"/>
        </w:rPr>
        <w:t>.</w:t>
      </w:r>
    </w:p>
    <w:p w14:paraId="7EF4D72C" w14:textId="77777777" w:rsidR="001B5784" w:rsidRDefault="00A03295" w:rsidP="002F7A2A">
      <w:pPr>
        <w:spacing w:before="120" w:after="120"/>
        <w:ind w:left="426" w:firstLine="708"/>
        <w:jc w:val="both"/>
        <w:rPr>
          <w:rFonts w:ascii="Garamond" w:hAnsi="Garamond"/>
          <w:sz w:val="24"/>
          <w:szCs w:val="24"/>
        </w:rPr>
      </w:pPr>
      <w:r w:rsidRPr="001B5784">
        <w:rPr>
          <w:rFonts w:ascii="Garamond" w:hAnsi="Garamond"/>
          <w:sz w:val="24"/>
          <w:szCs w:val="24"/>
        </w:rPr>
        <w:t xml:space="preserve">Kewenangan pemerintah daerah dalam membentuk produk hukum daerah (perda) merupakan konsekuensi logis dari adanya otonomi daerah. </w:t>
      </w:r>
      <w:r w:rsidRPr="001B5784">
        <w:rPr>
          <w:rFonts w:ascii="Garamond" w:hAnsi="Garamond"/>
          <w:sz w:val="24"/>
          <w:szCs w:val="24"/>
          <w:lang w:val="es-ES"/>
        </w:rPr>
        <w:t>Dimana otonomi daerah memiliki dimensi kewenangan untuk melakukan pengaturan dan juga mengurus pemerintahan di daerah. Dalam Ketetapan MPR No. III/MPR/2000 Pasal 3 ayat (7) menyebutkan, “Peraturan Daerah merupakan peraturan untuk melaksanakan aturan hukum di atasnya dan menampung kondisi khusus dari daerah yang bersangkutan, terdiri dari peraturan provinsi, peraturan daerah kabupaten/kota, dan peraturan desa”</w:t>
      </w:r>
    </w:p>
    <w:p w14:paraId="3C99AC72" w14:textId="793C03CA" w:rsidR="001B5784" w:rsidRDefault="00A03295" w:rsidP="002F7A2A">
      <w:pPr>
        <w:spacing w:before="120" w:after="120"/>
        <w:ind w:left="426" w:firstLine="708"/>
        <w:jc w:val="both"/>
        <w:rPr>
          <w:rFonts w:ascii="Garamond" w:hAnsi="Garamond"/>
          <w:sz w:val="24"/>
          <w:szCs w:val="24"/>
        </w:rPr>
      </w:pPr>
      <w:r w:rsidRPr="0008497B">
        <w:rPr>
          <w:rFonts w:ascii="Garamond" w:hAnsi="Garamond"/>
          <w:sz w:val="24"/>
          <w:szCs w:val="24"/>
        </w:rPr>
        <w:t xml:space="preserve">Otonomi daerah dilaksanakan dengan prinsip kewenangan yang seluas-luasnya. Pemberian otonomi yang seluas-luasnya kepada Daerah dimaksudkan untuk mempercepat terwujudnya kesejahteraan masyarakat melalui peningkatan pelayanan, pemberdayaan, dan peran serta masyarakat. Selain itu melalui otonomi luas, dalam lingkungan strategis globalisasi, Daerah diharapkan mampu meningkatkan daya saing dengan memperhatikan prinsip demokrasi, </w:t>
      </w:r>
      <w:r w:rsidRPr="0008497B">
        <w:rPr>
          <w:rFonts w:ascii="Garamond" w:hAnsi="Garamond"/>
          <w:sz w:val="24"/>
          <w:szCs w:val="24"/>
        </w:rPr>
        <w:lastRenderedPageBreak/>
        <w:t>pemerataan, keadilan, keistimewaan dan kekhususan serta potensi dan keanekaragaman Daerah dalam sistem Negara Kesatuan Republik Indonesia</w:t>
      </w:r>
      <w:r w:rsidR="00673596">
        <w:rPr>
          <w:rStyle w:val="FootnoteReference"/>
          <w:rFonts w:ascii="Garamond" w:hAnsi="Garamond"/>
          <w:sz w:val="24"/>
          <w:szCs w:val="24"/>
        </w:rPr>
        <w:footnoteReference w:id="2"/>
      </w:r>
      <w:r w:rsidRPr="0008497B">
        <w:rPr>
          <w:rFonts w:ascii="Garamond" w:hAnsi="Garamond"/>
          <w:sz w:val="24"/>
          <w:szCs w:val="24"/>
        </w:rPr>
        <w:t>.</w:t>
      </w:r>
      <w:r w:rsidRPr="00AE17A2">
        <w:rPr>
          <w:rFonts w:ascii="Garamond" w:hAnsi="Garamond"/>
          <w:sz w:val="24"/>
          <w:szCs w:val="24"/>
        </w:rPr>
        <w:t xml:space="preserve"> </w:t>
      </w:r>
    </w:p>
    <w:p w14:paraId="76302D4F" w14:textId="5393555F" w:rsidR="001B5784" w:rsidRDefault="00A81AE0" w:rsidP="002F7A2A">
      <w:pPr>
        <w:spacing w:before="120" w:after="120"/>
        <w:ind w:left="426" w:firstLine="708"/>
        <w:jc w:val="both"/>
        <w:rPr>
          <w:rFonts w:ascii="Garamond" w:hAnsi="Garamond"/>
          <w:sz w:val="24"/>
          <w:szCs w:val="24"/>
        </w:rPr>
      </w:pPr>
      <w:r w:rsidRPr="00AE17A2">
        <w:rPr>
          <w:rFonts w:ascii="Garamond" w:hAnsi="Garamond"/>
          <w:sz w:val="24"/>
          <w:szCs w:val="24"/>
          <w:lang w:val="es-ES"/>
        </w:rPr>
        <w:t>Pasca reformasi terjadi perubahan yang mendasar di Indonesia yakni dari awalnya menganut sistem sentralisasi menjadi desentralisasi. Dengan dianutnya sistem desentralisasi terjadi pembagian urusan pusat dan daerah. Salah satu efek dari diberlakukannya desentralisasi di Indonesia adalah munculnya perda-perda syariah. Desentralisasi telah memberi ruang yang lebih bagi pemerintah daerah untuk membuat perda dan peraturan lokal lainnya, termasuk perda yang bernuansa Islam. Peraturan daerah merupakan urutan terendah dalam sistem tata urutan peraturan perundang-undangan Indonesia. Peraturan Daerah (Perda) Syar</w:t>
      </w:r>
      <w:r w:rsidR="00AF681C">
        <w:rPr>
          <w:rFonts w:ascii="Times New Roman" w:hAnsi="Times New Roman" w:cs="Times New Roman"/>
          <w:sz w:val="24"/>
          <w:szCs w:val="24"/>
        </w:rPr>
        <w:t>’</w:t>
      </w:r>
      <w:r w:rsidRPr="00AE17A2">
        <w:rPr>
          <w:rFonts w:ascii="Garamond" w:hAnsi="Garamond"/>
          <w:sz w:val="24"/>
          <w:szCs w:val="24"/>
          <w:lang w:val="es-ES"/>
        </w:rPr>
        <w:t>iah adalah peraturan yang</w:t>
      </w:r>
      <w:r w:rsidRPr="00AE17A2">
        <w:rPr>
          <w:rFonts w:ascii="Garamond" w:hAnsi="Garamond"/>
          <w:sz w:val="24"/>
          <w:szCs w:val="24"/>
        </w:rPr>
        <w:t xml:space="preserve"> </w:t>
      </w:r>
      <w:r w:rsidRPr="00AE17A2">
        <w:rPr>
          <w:rFonts w:ascii="Garamond" w:hAnsi="Garamond"/>
          <w:sz w:val="24"/>
          <w:szCs w:val="24"/>
          <w:lang w:val="es-ES"/>
        </w:rPr>
        <w:t>bermuatan nilai dan/atau norma Islam yang bersumber dari Al</w:t>
      </w:r>
      <w:r w:rsidRPr="00AE17A2">
        <w:rPr>
          <w:rFonts w:ascii="Garamond" w:hAnsi="Garamond"/>
          <w:sz w:val="24"/>
          <w:szCs w:val="24"/>
        </w:rPr>
        <w:t>-</w:t>
      </w:r>
      <w:r w:rsidRPr="00AE17A2">
        <w:rPr>
          <w:rFonts w:ascii="Garamond" w:hAnsi="Garamond"/>
          <w:sz w:val="24"/>
          <w:szCs w:val="24"/>
          <w:lang w:val="es-ES"/>
        </w:rPr>
        <w:t>Qur</w:t>
      </w:r>
      <w:r w:rsidR="00AF681C">
        <w:rPr>
          <w:rFonts w:ascii="Times New Roman" w:hAnsi="Times New Roman" w:cs="Times New Roman"/>
          <w:sz w:val="24"/>
          <w:szCs w:val="24"/>
        </w:rPr>
        <w:t>’</w:t>
      </w:r>
      <w:r w:rsidRPr="00AE17A2">
        <w:rPr>
          <w:rFonts w:ascii="Garamond" w:hAnsi="Garamond"/>
          <w:sz w:val="24"/>
          <w:szCs w:val="24"/>
          <w:lang w:val="es-ES"/>
        </w:rPr>
        <w:t>an dan Sunnah yang beraku di suatu daerah.</w:t>
      </w:r>
      <w:r w:rsidR="00673596">
        <w:rPr>
          <w:rStyle w:val="FootnoteReference"/>
          <w:rFonts w:ascii="Garamond" w:hAnsi="Garamond"/>
          <w:sz w:val="24"/>
          <w:szCs w:val="24"/>
          <w:lang w:val="es-ES"/>
        </w:rPr>
        <w:footnoteReference w:id="3"/>
      </w:r>
      <w:r w:rsidRPr="00AE17A2">
        <w:rPr>
          <w:rFonts w:ascii="Garamond" w:hAnsi="Garamond"/>
          <w:sz w:val="24"/>
          <w:szCs w:val="24"/>
          <w:lang w:val="es-ES"/>
        </w:rPr>
        <w:t xml:space="preserve"> </w:t>
      </w:r>
    </w:p>
    <w:p w14:paraId="618B8C6D" w14:textId="77777777" w:rsidR="001B5784" w:rsidRDefault="00A81AE0" w:rsidP="002F7A2A">
      <w:pPr>
        <w:spacing w:before="120" w:after="120"/>
        <w:ind w:left="426" w:firstLine="708"/>
        <w:jc w:val="both"/>
        <w:rPr>
          <w:rFonts w:ascii="Garamond" w:hAnsi="Garamond"/>
          <w:sz w:val="24"/>
          <w:szCs w:val="24"/>
        </w:rPr>
      </w:pPr>
      <w:r w:rsidRPr="00673596">
        <w:rPr>
          <w:rFonts w:ascii="Garamond" w:hAnsi="Garamond"/>
          <w:sz w:val="24"/>
          <w:szCs w:val="24"/>
        </w:rPr>
        <w:t xml:space="preserve">Desain desentralisasi Indonesia yang ditetapkan melalui UU Nomor 22 tahun 1999 Tentang Pemerintah Daerah dan UU Nomor 32 tahun 2004 Tentang Pemerintah Daerah menggabungkan tujuan-tujuan politik dan ekonomi. </w:t>
      </w:r>
      <w:r w:rsidRPr="000F2B8E">
        <w:rPr>
          <w:rFonts w:ascii="Garamond" w:hAnsi="Garamond"/>
          <w:sz w:val="24"/>
          <w:szCs w:val="24"/>
        </w:rPr>
        <w:t>Tujuan ekonomi yang hendak dicapai melalui desentralisasi adalah mewujudkan kesejahteraan melalui penyediaan layanan publik yang lebih merata dan memperpendek rentang antara penyedia layanan publik dan masyarakat lokal. Tujuan politik desentralisasi adalah demokratisasi pemerintah daerah melalui pertanggungjawaban langsung kepala daerah kepada konstituen mereka di daerah. Berdasarkan Undang-Undang tersebut, tiap pemerintah daerah memiliki hak, wewenang dan kewajiban untuk mengatur dan mengurus sendiri urusan pemerintah dan kepentingan masyarakat setempat sesuai dengan peraturan perundang-undangan. Namun demikian, pemerintah daerah dalam menyelenggarakan urusan pemerintahannya memiliki hubungan dengan pemerintah pusat dan dengan pemerintahan daerah lainnya</w:t>
      </w:r>
    </w:p>
    <w:p w14:paraId="402B9F4F" w14:textId="5F55E340" w:rsidR="001B5784" w:rsidRDefault="00A81AE0" w:rsidP="002F7A2A">
      <w:pPr>
        <w:spacing w:before="120" w:after="120"/>
        <w:ind w:left="426" w:firstLine="708"/>
        <w:jc w:val="both"/>
        <w:rPr>
          <w:rFonts w:ascii="Garamond" w:hAnsi="Garamond"/>
          <w:sz w:val="24"/>
          <w:szCs w:val="24"/>
        </w:rPr>
      </w:pPr>
      <w:r w:rsidRPr="00AE17A2">
        <w:rPr>
          <w:rFonts w:ascii="Garamond" w:hAnsi="Garamond"/>
          <w:sz w:val="24"/>
          <w:szCs w:val="24"/>
        </w:rPr>
        <w:t xml:space="preserve">Dalam pembentukan perda, ada hal-hal yang harus dipenuhi oleh pihak-pihak yang terlibat agar perda tersebut memberikan hal yang positif bagi masyarakat daerah. </w:t>
      </w:r>
      <w:r w:rsidRPr="0008497B">
        <w:rPr>
          <w:rFonts w:ascii="Garamond" w:hAnsi="Garamond"/>
          <w:sz w:val="24"/>
          <w:szCs w:val="24"/>
        </w:rPr>
        <w:t>Perda sebagai produk hukum di daerah, hendaknya mampu mengarahkan masyarakat daerah ke arah yang lebih baik dan mampu mengayomi masyarakat. Jika disimak pendapat dari Meuwissen yang menyataan bahwa hukum mempunyai keberlakuannya apabila mampu berlaku secara sosiologis, berlaku secara yuridis dan berlaku secara moral</w:t>
      </w:r>
      <w:r w:rsidR="00673596">
        <w:rPr>
          <w:rStyle w:val="FootnoteReference"/>
          <w:rFonts w:ascii="Garamond" w:hAnsi="Garamond"/>
          <w:sz w:val="24"/>
          <w:szCs w:val="24"/>
        </w:rPr>
        <w:footnoteReference w:id="4"/>
      </w:r>
      <w:r w:rsidRPr="0008497B">
        <w:rPr>
          <w:rFonts w:ascii="Garamond" w:hAnsi="Garamond"/>
          <w:sz w:val="24"/>
          <w:szCs w:val="24"/>
        </w:rPr>
        <w:t>.</w:t>
      </w:r>
    </w:p>
    <w:p w14:paraId="36E84C7D" w14:textId="7C75C270" w:rsidR="001B5784" w:rsidRDefault="0001583D" w:rsidP="002F7A2A">
      <w:pPr>
        <w:spacing w:before="120" w:after="120"/>
        <w:ind w:left="426" w:firstLine="708"/>
        <w:jc w:val="both"/>
        <w:rPr>
          <w:rFonts w:ascii="Garamond" w:hAnsi="Garamond"/>
          <w:sz w:val="24"/>
          <w:szCs w:val="24"/>
        </w:rPr>
      </w:pPr>
      <w:r w:rsidRPr="00AE17A2">
        <w:rPr>
          <w:rFonts w:ascii="Garamond" w:hAnsi="Garamond"/>
          <w:sz w:val="24"/>
          <w:szCs w:val="24"/>
          <w:lang w:val="es-ES"/>
        </w:rPr>
        <w:t>Sebagian muatan-muatan dari Perda-perda Syariah itu telah bertentangan dengan prinsip-prinsip hak asasi manusia. Selain itu peraturan daerah berperspektif syari</w:t>
      </w:r>
      <w:r w:rsidR="00AF681C">
        <w:rPr>
          <w:rFonts w:ascii="Times New Roman" w:hAnsi="Times New Roman" w:cs="Times New Roman"/>
          <w:sz w:val="24"/>
          <w:szCs w:val="24"/>
        </w:rPr>
        <w:t>’</w:t>
      </w:r>
      <w:r w:rsidRPr="00AE17A2">
        <w:rPr>
          <w:rFonts w:ascii="Garamond" w:hAnsi="Garamond"/>
          <w:sz w:val="24"/>
          <w:szCs w:val="24"/>
          <w:lang w:val="es-ES"/>
        </w:rPr>
        <w:t>ah Islam juga dianggap telah melanggar hak-hak kebebasan sipil dan hak-hak perempuan, misalnya dimana cara berpakaian begitu dibatasi, serta waktu dan ruang gerak dari perempuan diruang publik sangat dibelenggu dan dibatasi</w:t>
      </w:r>
      <w:r w:rsidR="00673596">
        <w:rPr>
          <w:rStyle w:val="FootnoteReference"/>
          <w:rFonts w:ascii="Garamond" w:hAnsi="Garamond"/>
          <w:sz w:val="24"/>
          <w:szCs w:val="24"/>
          <w:lang w:val="es-ES"/>
        </w:rPr>
        <w:footnoteReference w:id="5"/>
      </w:r>
      <w:r w:rsidRPr="00AE17A2">
        <w:rPr>
          <w:rFonts w:ascii="Garamond" w:hAnsi="Garamond"/>
          <w:sz w:val="24"/>
          <w:szCs w:val="24"/>
          <w:lang w:val="es-ES"/>
        </w:rPr>
        <w:t>.</w:t>
      </w:r>
    </w:p>
    <w:p w14:paraId="76ADC93D" w14:textId="6512C29E" w:rsidR="0001583D" w:rsidRPr="001B5784" w:rsidRDefault="0001583D" w:rsidP="002F7A2A">
      <w:pPr>
        <w:spacing w:before="120" w:after="120"/>
        <w:ind w:left="426" w:firstLine="708"/>
        <w:jc w:val="both"/>
        <w:rPr>
          <w:rFonts w:ascii="Garamond" w:hAnsi="Garamond"/>
          <w:sz w:val="24"/>
          <w:szCs w:val="24"/>
        </w:rPr>
      </w:pPr>
      <w:r w:rsidRPr="001B5784">
        <w:rPr>
          <w:rFonts w:ascii="Garamond" w:hAnsi="Garamond"/>
          <w:sz w:val="24"/>
          <w:szCs w:val="24"/>
          <w:lang w:val="es-ES"/>
        </w:rPr>
        <w:t xml:space="preserve">Perda syariah merupakan perda yang mengatur masalah agama. </w:t>
      </w:r>
      <w:r w:rsidRPr="001B5784">
        <w:rPr>
          <w:rFonts w:ascii="Garamond" w:hAnsi="Garamond"/>
          <w:sz w:val="24"/>
          <w:szCs w:val="24"/>
        </w:rPr>
        <w:t>Sedangkan urusan agama adalah murni kewenangan absolut pemerintah pusat. Suatu aturan perundang</w:t>
      </w:r>
      <w:r w:rsidR="001B5784">
        <w:rPr>
          <w:rFonts w:ascii="Garamond" w:hAnsi="Garamond"/>
          <w:sz w:val="24"/>
          <w:szCs w:val="24"/>
        </w:rPr>
        <w:t xml:space="preserve"> </w:t>
      </w:r>
      <w:r w:rsidRPr="001B5784">
        <w:rPr>
          <w:rFonts w:ascii="Garamond" w:hAnsi="Garamond"/>
          <w:sz w:val="24"/>
          <w:szCs w:val="24"/>
        </w:rPr>
        <w:t xml:space="preserve">undangan yang lebih rendah tingkatannya tidak boleh bertentangan dengan aturan yang lebih tinggi, sehingga apabila itu terjadi harus diuji materil, direview dan hasilnya adalah hukum yang lebih tinggilah yang harus dijadikan sebagai hukum yang sah, yang dalam terminologi hukum dikenal dengan asas, </w:t>
      </w:r>
      <w:r w:rsidRPr="001B5784">
        <w:rPr>
          <w:rFonts w:ascii="Garamond" w:hAnsi="Garamond"/>
          <w:i/>
          <w:iCs/>
          <w:sz w:val="24"/>
          <w:szCs w:val="24"/>
        </w:rPr>
        <w:t>lex superior derogat legi inferiori</w:t>
      </w:r>
      <w:r w:rsidRPr="001B5784">
        <w:rPr>
          <w:rFonts w:ascii="Garamond" w:hAnsi="Garamond"/>
          <w:sz w:val="24"/>
          <w:szCs w:val="24"/>
        </w:rPr>
        <w:t xml:space="preserve">, hukum yang lebih tinggi mengenyampingkan hukum yang lebih rendah. </w:t>
      </w:r>
      <w:r w:rsidRPr="001B5784">
        <w:rPr>
          <w:rFonts w:ascii="Garamond" w:hAnsi="Garamond"/>
          <w:sz w:val="24"/>
          <w:szCs w:val="24"/>
          <w:lang w:val="es-ES"/>
        </w:rPr>
        <w:lastRenderedPageBreak/>
        <w:t>Disharmoni peraturan perundang-undangan ini apabila dibiarkan terus</w:t>
      </w:r>
      <w:r w:rsidRPr="001B5784">
        <w:rPr>
          <w:rFonts w:ascii="Garamond" w:hAnsi="Garamond"/>
          <w:sz w:val="24"/>
          <w:szCs w:val="24"/>
        </w:rPr>
        <w:t xml:space="preserve"> </w:t>
      </w:r>
      <w:r w:rsidRPr="001B5784">
        <w:rPr>
          <w:rFonts w:ascii="Garamond" w:hAnsi="Garamond"/>
          <w:sz w:val="24"/>
          <w:szCs w:val="24"/>
          <w:lang w:val="es-ES"/>
        </w:rPr>
        <w:t>menerus semakin lama akan menjadi penyebab chaos dalam sistem berbangsa dan bernegara Indonesia</w:t>
      </w:r>
    </w:p>
    <w:p w14:paraId="103541E6" w14:textId="3F840472" w:rsidR="0001583D" w:rsidRPr="000F2B8E" w:rsidRDefault="0001583D" w:rsidP="002F7A2A">
      <w:pPr>
        <w:pStyle w:val="ListParagraph"/>
        <w:spacing w:before="120" w:after="120" w:line="276" w:lineRule="auto"/>
        <w:ind w:left="426" w:firstLine="708"/>
        <w:contextualSpacing w:val="0"/>
        <w:jc w:val="both"/>
        <w:rPr>
          <w:rFonts w:ascii="Garamond" w:hAnsi="Garamond" w:cs="Calibri"/>
          <w:b/>
          <w:bCs/>
          <w:sz w:val="24"/>
          <w:szCs w:val="24"/>
          <w:lang w:val="id-ID"/>
        </w:rPr>
      </w:pPr>
      <w:r w:rsidRPr="000F2B8E">
        <w:rPr>
          <w:rFonts w:ascii="Garamond" w:hAnsi="Garamond"/>
          <w:sz w:val="24"/>
          <w:szCs w:val="24"/>
          <w:lang w:val="id-ID"/>
        </w:rPr>
        <w:t xml:space="preserve">Memahami kandungan suatu Perda berbasis syariah tidak bisa hanya dilihat dalam bentuk formalnya </w:t>
      </w:r>
      <w:r w:rsidRPr="000F2B8E">
        <w:rPr>
          <w:rFonts w:ascii="Garamond" w:hAnsi="Garamond"/>
          <w:i/>
          <w:iCs/>
          <w:sz w:val="24"/>
          <w:szCs w:val="24"/>
          <w:lang w:val="id-ID"/>
        </w:rPr>
        <w:t>(teks),</w:t>
      </w:r>
      <w:r w:rsidRPr="000F2B8E">
        <w:rPr>
          <w:rFonts w:ascii="Garamond" w:hAnsi="Garamond"/>
          <w:sz w:val="24"/>
          <w:szCs w:val="24"/>
          <w:lang w:val="id-ID"/>
        </w:rPr>
        <w:t xml:space="preserve"> melainkan juga diperlukan telaah khusus terhadap unsur-unsur politis dan sosiologis yang melahirkan Perda berbasis syariah tersebut. Karena itu, Perda berbasis syariah sebagai produk hukum yang dihasilkan melalui konstelasi politik berbagai pihak tidak terlepas dari kepentingan-kepentingan yang menyertainya.</w:t>
      </w:r>
    </w:p>
    <w:p w14:paraId="0AA65EB1" w14:textId="77777777" w:rsidR="0072774A" w:rsidRPr="00BB7729" w:rsidRDefault="0072774A" w:rsidP="002F7A2A">
      <w:pPr>
        <w:pStyle w:val="ListParagraph"/>
        <w:numPr>
          <w:ilvl w:val="0"/>
          <w:numId w:val="1"/>
        </w:numPr>
        <w:spacing w:before="120" w:after="120" w:line="276" w:lineRule="auto"/>
        <w:ind w:left="426" w:hanging="426"/>
        <w:contextualSpacing w:val="0"/>
        <w:rPr>
          <w:rFonts w:ascii="Garamond" w:hAnsi="Garamond" w:cs="Calibri"/>
          <w:b/>
          <w:bCs/>
          <w:sz w:val="24"/>
          <w:szCs w:val="24"/>
        </w:rPr>
      </w:pPr>
      <w:r w:rsidRPr="00B660CC">
        <w:rPr>
          <w:rFonts w:ascii="Garamond" w:hAnsi="Garamond" w:cs="Calibri"/>
          <w:b/>
          <w:bCs/>
          <w:sz w:val="24"/>
          <w:szCs w:val="24"/>
          <w:lang w:val="id-ID"/>
        </w:rPr>
        <w:t>Metode</w:t>
      </w:r>
    </w:p>
    <w:p w14:paraId="2B8B726F" w14:textId="126CD71B" w:rsidR="00773D78" w:rsidRPr="00F82604" w:rsidRDefault="00BB7729" w:rsidP="002F7A2A">
      <w:pPr>
        <w:pStyle w:val="ListParagraph"/>
        <w:spacing w:before="120" w:after="120" w:line="276" w:lineRule="auto"/>
        <w:ind w:left="426" w:firstLine="708"/>
        <w:contextualSpacing w:val="0"/>
        <w:jc w:val="both"/>
        <w:rPr>
          <w:rFonts w:ascii="Garamond" w:hAnsi="Garamond" w:cs="Calibri"/>
          <w:bCs/>
          <w:sz w:val="24"/>
          <w:szCs w:val="24"/>
          <w:lang w:val="id-ID"/>
        </w:rPr>
      </w:pPr>
      <w:r w:rsidRPr="00BB7729">
        <w:rPr>
          <w:rFonts w:ascii="Garamond" w:hAnsi="Garamond" w:cs="Calibri"/>
          <w:bCs/>
          <w:sz w:val="24"/>
          <w:szCs w:val="24"/>
        </w:rPr>
        <w:t xml:space="preserve">Artikel ini menggunakan metode </w:t>
      </w:r>
      <w:r w:rsidR="000843DA">
        <w:rPr>
          <w:rFonts w:ascii="Garamond" w:hAnsi="Garamond" w:cs="Calibri"/>
          <w:bCs/>
          <w:sz w:val="24"/>
          <w:szCs w:val="24"/>
          <w:lang w:val="id-ID"/>
        </w:rPr>
        <w:t xml:space="preserve">kualitatif deskriptif dengan menggunakan metode analisa </w:t>
      </w:r>
      <w:r w:rsidR="000843DA">
        <w:rPr>
          <w:rFonts w:ascii="Garamond" w:hAnsi="Garamond" w:cs="Calibri"/>
          <w:bCs/>
          <w:i/>
          <w:sz w:val="24"/>
          <w:szCs w:val="24"/>
          <w:lang w:val="id-ID"/>
        </w:rPr>
        <w:t xml:space="preserve">library research. </w:t>
      </w:r>
      <w:r w:rsidR="00773D78">
        <w:rPr>
          <w:rFonts w:ascii="Garamond" w:hAnsi="Garamond" w:cs="Calibri"/>
          <w:bCs/>
          <w:sz w:val="24"/>
          <w:szCs w:val="24"/>
          <w:lang w:val="id-ID"/>
        </w:rPr>
        <w:t>Penulis akan melakukan penelitian pada media buku, jurnal, majalah,koran baik offline dan online</w:t>
      </w:r>
      <w:r w:rsidR="000843DA">
        <w:rPr>
          <w:rFonts w:ascii="Garamond" w:hAnsi="Garamond" w:cs="Calibri"/>
          <w:bCs/>
          <w:sz w:val="24"/>
          <w:szCs w:val="24"/>
          <w:lang w:val="id-ID"/>
        </w:rPr>
        <w:t>.</w:t>
      </w:r>
      <w:r w:rsidR="00773D78">
        <w:rPr>
          <w:rFonts w:ascii="Garamond" w:hAnsi="Garamond" w:cs="Calibri"/>
          <w:bCs/>
          <w:sz w:val="24"/>
          <w:szCs w:val="24"/>
          <w:lang w:val="id-ID"/>
        </w:rPr>
        <w:t xml:space="preserve"> Dimana data-data yang terkumpul dari sumber penelitian tersebut digunakan sebagai data analisis dan untuk menganalisis persoalan yang dibahas. Penulis juga melakukan pendekatan kajian pustaka dengan menggunakan pendekatan, konsep dan teori yang berhubungan dengan p</w:t>
      </w:r>
      <w:r w:rsidR="00DF1D56">
        <w:rPr>
          <w:rFonts w:ascii="Garamond" w:hAnsi="Garamond" w:cs="Calibri"/>
          <w:bCs/>
          <w:sz w:val="24"/>
          <w:szCs w:val="24"/>
          <w:lang w:val="id-ID"/>
        </w:rPr>
        <w:t>erda syariah dan problematikanya</w:t>
      </w:r>
      <w:r w:rsidR="00127703">
        <w:rPr>
          <w:rFonts w:ascii="Garamond" w:hAnsi="Garamond" w:cs="Calibri"/>
          <w:bCs/>
          <w:sz w:val="24"/>
          <w:szCs w:val="24"/>
          <w:lang w:val="id-ID"/>
        </w:rPr>
        <w:t xml:space="preserve">. </w:t>
      </w:r>
      <w:r w:rsidR="00773D78" w:rsidRPr="00F82604">
        <w:rPr>
          <w:rFonts w:ascii="Garamond" w:hAnsi="Garamond" w:cs="Calibri"/>
          <w:bCs/>
          <w:sz w:val="24"/>
          <w:szCs w:val="24"/>
          <w:lang w:val="id-ID"/>
        </w:rPr>
        <w:t xml:space="preserve">Pendekatan metode kualitatif deskriptif dipilih sebagai bagian dari metode yang paling efektif dan efisien bagi penulis untuk dilakukan. Metode dalam pendekatan ini juga dirasa cukup fleksibel apabila digunakan dalam penulisan artikel ilmiah yang bertema </w:t>
      </w:r>
      <w:r w:rsidR="00AF681C">
        <w:rPr>
          <w:rFonts w:ascii="Garamond" w:hAnsi="Garamond" w:cs="Calibri"/>
          <w:bCs/>
          <w:sz w:val="24"/>
          <w:szCs w:val="24"/>
          <w:lang w:val="id-ID"/>
        </w:rPr>
        <w:t>hukum dan syariah.</w:t>
      </w:r>
    </w:p>
    <w:p w14:paraId="1FB1E6C4" w14:textId="77777777" w:rsidR="0072774A" w:rsidRPr="00B17EF8" w:rsidRDefault="0072774A" w:rsidP="002F7A2A">
      <w:pPr>
        <w:pStyle w:val="ListParagraph"/>
        <w:numPr>
          <w:ilvl w:val="0"/>
          <w:numId w:val="1"/>
        </w:numPr>
        <w:spacing w:before="120" w:after="120" w:line="276" w:lineRule="auto"/>
        <w:ind w:left="426" w:hanging="426"/>
        <w:contextualSpacing w:val="0"/>
        <w:rPr>
          <w:rFonts w:ascii="Garamond" w:hAnsi="Garamond" w:cs="Calibri"/>
          <w:b/>
          <w:bCs/>
          <w:sz w:val="24"/>
          <w:szCs w:val="24"/>
        </w:rPr>
      </w:pPr>
      <w:r w:rsidRPr="00B660CC">
        <w:rPr>
          <w:rFonts w:ascii="Garamond" w:hAnsi="Garamond" w:cs="Calibri"/>
          <w:b/>
          <w:bCs/>
          <w:sz w:val="24"/>
          <w:szCs w:val="24"/>
          <w:lang w:val="id-ID"/>
        </w:rPr>
        <w:t>Temuan Data dan Diskusi</w:t>
      </w:r>
    </w:p>
    <w:p w14:paraId="2D645EF2" w14:textId="56E1178B" w:rsidR="00814D7C" w:rsidRDefault="00B17EF8" w:rsidP="00D12FED">
      <w:pPr>
        <w:pStyle w:val="ListParagraph"/>
        <w:numPr>
          <w:ilvl w:val="0"/>
          <w:numId w:val="6"/>
        </w:numPr>
        <w:spacing w:before="120" w:after="120" w:line="276" w:lineRule="auto"/>
        <w:contextualSpacing w:val="0"/>
        <w:rPr>
          <w:rFonts w:ascii="Garamond" w:hAnsi="Garamond" w:cs="Calibri"/>
          <w:b/>
          <w:bCs/>
          <w:sz w:val="24"/>
          <w:szCs w:val="24"/>
          <w:lang w:val="id-ID"/>
        </w:rPr>
      </w:pPr>
      <w:r>
        <w:rPr>
          <w:rFonts w:ascii="Garamond" w:hAnsi="Garamond" w:cs="Calibri"/>
          <w:b/>
          <w:bCs/>
          <w:sz w:val="24"/>
          <w:szCs w:val="24"/>
          <w:lang w:val="id-ID"/>
        </w:rPr>
        <w:t xml:space="preserve"> M</w:t>
      </w:r>
      <w:r w:rsidR="00BD6DE1">
        <w:rPr>
          <w:rFonts w:ascii="Garamond" w:hAnsi="Garamond" w:cs="Calibri"/>
          <w:b/>
          <w:bCs/>
          <w:sz w:val="24"/>
          <w:szCs w:val="24"/>
          <w:lang w:val="id-ID"/>
        </w:rPr>
        <w:t>unculnya Perda Syariah Dalam Ketatanegaraan Indonesia</w:t>
      </w:r>
    </w:p>
    <w:p w14:paraId="3F2F0EED" w14:textId="14ADE594" w:rsidR="00814D7C" w:rsidRDefault="009A4133" w:rsidP="00D12FED">
      <w:pPr>
        <w:pStyle w:val="ListParagraph"/>
        <w:spacing w:before="120" w:after="120" w:line="276" w:lineRule="auto"/>
        <w:ind w:firstLine="720"/>
        <w:contextualSpacing w:val="0"/>
        <w:jc w:val="both"/>
        <w:rPr>
          <w:rFonts w:ascii="Garamond" w:hAnsi="Garamond"/>
          <w:sz w:val="24"/>
          <w:szCs w:val="24"/>
          <w:lang w:val="es-ES"/>
        </w:rPr>
      </w:pPr>
      <w:r w:rsidRPr="00814D7C">
        <w:rPr>
          <w:rFonts w:ascii="Garamond" w:hAnsi="Garamond"/>
          <w:sz w:val="24"/>
          <w:szCs w:val="24"/>
          <w:lang w:val="es-ES"/>
        </w:rPr>
        <w:t>Peraturan Daerah (Perda) Syariah merupakan peraturan yang bermuatan nilai</w:t>
      </w:r>
      <w:r w:rsidR="00732A50">
        <w:rPr>
          <w:rFonts w:ascii="Garamond" w:hAnsi="Garamond"/>
          <w:sz w:val="24"/>
          <w:szCs w:val="24"/>
          <w:lang w:val="id-ID"/>
        </w:rPr>
        <w:t xml:space="preserve"> </w:t>
      </w:r>
      <w:r w:rsidRPr="00814D7C">
        <w:rPr>
          <w:rFonts w:ascii="Garamond" w:hAnsi="Garamond"/>
          <w:sz w:val="24"/>
          <w:szCs w:val="24"/>
          <w:lang w:val="es-ES"/>
        </w:rPr>
        <w:t>nilai dan atau norma-norma Islam yang bersumber pada Al-Qur’an dan Hadits yang mana peraturan ini berlaku di suatu daerah (Suntana 2014). Dalam Hierarki peraturan perundangundangan, Perda merupakan urutan terandah tata hukum di Indonesia. Sejalan dengan prinsip dalam konstitusi negara Indonesia sebagai sebuah negara hukum. Sangatlah penting untuk melihat ke dalam dinamika posisi syariah Islam dalam konstelasi konstitusi hukum negara apalagi jika dikontekskan dengan otonomi daerah. Meskipun otonomi dimaknai secara harfiah sebagai bentuk independensi, namun harus dijalankan secara bertanggungjawab kepada pusat.</w:t>
      </w:r>
      <w:r w:rsidR="00DD7764">
        <w:rPr>
          <w:rStyle w:val="FootnoteReference"/>
          <w:rFonts w:ascii="Garamond" w:hAnsi="Garamond"/>
          <w:sz w:val="24"/>
          <w:szCs w:val="24"/>
          <w:lang w:val="es-ES"/>
        </w:rPr>
        <w:footnoteReference w:id="6"/>
      </w:r>
    </w:p>
    <w:p w14:paraId="6E5E188F" w14:textId="1525D7D5" w:rsidR="00814D7C" w:rsidRDefault="00BD6DE1" w:rsidP="00D12FED">
      <w:pPr>
        <w:pStyle w:val="ListParagraph"/>
        <w:spacing w:before="120" w:after="120" w:line="276" w:lineRule="auto"/>
        <w:ind w:firstLine="720"/>
        <w:contextualSpacing w:val="0"/>
        <w:jc w:val="both"/>
        <w:rPr>
          <w:rFonts w:ascii="Garamond" w:hAnsi="Garamond"/>
          <w:sz w:val="24"/>
          <w:szCs w:val="24"/>
          <w:lang w:val="id-ID"/>
        </w:rPr>
      </w:pPr>
      <w:r w:rsidRPr="00814D7C">
        <w:rPr>
          <w:rFonts w:ascii="Garamond" w:hAnsi="Garamond"/>
          <w:sz w:val="24"/>
          <w:szCs w:val="24"/>
          <w:lang w:val="id-ID"/>
        </w:rPr>
        <w:t xml:space="preserve">Lengsernya orde baru membuka celah demokratisasi di Indonesia. Isu demokratisasi merupakan sesuatu yang strategis dan fungsional untuk menjawab berbagai persoalan bangsa. Demokratisasi adalah harapan bagi mereka yang menolak penggunaan negara demi kepentingan agama, sekaligus juga memberikan tempat untuk agama. Mekanisme politik yang demokratis sejatinya memberikan keuntungan tersendiri bagi umat </w:t>
      </w:r>
      <w:r w:rsidR="00732A50">
        <w:rPr>
          <w:rFonts w:ascii="Garamond" w:hAnsi="Garamond"/>
          <w:sz w:val="24"/>
          <w:szCs w:val="24"/>
          <w:lang w:val="id-ID"/>
        </w:rPr>
        <w:t>I</w:t>
      </w:r>
      <w:r w:rsidRPr="00814D7C">
        <w:rPr>
          <w:rFonts w:ascii="Garamond" w:hAnsi="Garamond"/>
          <w:sz w:val="24"/>
          <w:szCs w:val="24"/>
          <w:lang w:val="id-ID"/>
        </w:rPr>
        <w:t xml:space="preserve">slam yang mayoritas di negeri ini. Sebab, mekanisme politik yang demokratis akan menempatkan masing-masing kelompok secara proporsional dan juga </w:t>
      </w:r>
      <w:r w:rsidRPr="00732A50">
        <w:rPr>
          <w:rFonts w:ascii="Garamond" w:hAnsi="Garamond"/>
          <w:i/>
          <w:iCs/>
          <w:sz w:val="24"/>
          <w:szCs w:val="24"/>
          <w:lang w:val="id-ID"/>
        </w:rPr>
        <w:t>legitimate</w:t>
      </w:r>
      <w:r w:rsidRPr="00814D7C">
        <w:rPr>
          <w:rFonts w:ascii="Garamond" w:hAnsi="Garamond"/>
          <w:sz w:val="24"/>
          <w:szCs w:val="24"/>
          <w:lang w:val="id-ID"/>
        </w:rPr>
        <w:t>.</w:t>
      </w:r>
      <w:r w:rsidR="002E785E">
        <w:rPr>
          <w:rStyle w:val="FootnoteReference"/>
          <w:rFonts w:ascii="Garamond" w:hAnsi="Garamond"/>
          <w:sz w:val="24"/>
          <w:szCs w:val="24"/>
          <w:lang w:val="id-ID"/>
        </w:rPr>
        <w:footnoteReference w:id="7"/>
      </w:r>
    </w:p>
    <w:p w14:paraId="1162722F" w14:textId="10AB0DCC" w:rsidR="00814D7C" w:rsidRDefault="00BD6DE1" w:rsidP="00D12FED">
      <w:pPr>
        <w:pStyle w:val="ListParagraph"/>
        <w:spacing w:before="120" w:after="120" w:line="276" w:lineRule="auto"/>
        <w:ind w:firstLine="720"/>
        <w:contextualSpacing w:val="0"/>
        <w:jc w:val="both"/>
        <w:rPr>
          <w:rFonts w:ascii="Garamond" w:hAnsi="Garamond"/>
          <w:sz w:val="24"/>
          <w:szCs w:val="24"/>
          <w:lang w:val="es-ES"/>
        </w:rPr>
      </w:pPr>
      <w:r w:rsidRPr="00814D7C">
        <w:rPr>
          <w:rFonts w:ascii="Garamond" w:hAnsi="Garamond"/>
          <w:sz w:val="24"/>
          <w:szCs w:val="24"/>
          <w:lang w:val="id-ID"/>
        </w:rPr>
        <w:t xml:space="preserve"> </w:t>
      </w:r>
      <w:r w:rsidRPr="00814D7C">
        <w:rPr>
          <w:rFonts w:ascii="Garamond" w:hAnsi="Garamond"/>
          <w:sz w:val="24"/>
          <w:szCs w:val="24"/>
          <w:lang w:val="es-ES"/>
        </w:rPr>
        <w:t>Selain itu, isu demoktratisasi ini juga memberi angin segar kepada daerah melalui desentralisasi atau otonami daerah. Dengan otonomi, daerah diberi keleluasan untuk mengatur dirinya sendiri sesuai kemampuan dan aspirasi tiap-tiap daerah. Pasal 18 UUD NRI 1945 telah memberikan sandaran yang konstitusional kepada daerah untuk melaksanakan otonomi seluas-</w:t>
      </w:r>
      <w:r w:rsidRPr="00814D7C">
        <w:rPr>
          <w:rFonts w:ascii="Garamond" w:hAnsi="Garamond"/>
          <w:sz w:val="24"/>
          <w:szCs w:val="24"/>
          <w:lang w:val="es-ES"/>
        </w:rPr>
        <w:lastRenderedPageBreak/>
        <w:t>luasnya</w:t>
      </w:r>
      <w:r w:rsidR="002E785E">
        <w:rPr>
          <w:rStyle w:val="FootnoteReference"/>
          <w:rFonts w:ascii="Garamond" w:hAnsi="Garamond"/>
          <w:sz w:val="24"/>
          <w:szCs w:val="24"/>
          <w:lang w:val="es-ES"/>
        </w:rPr>
        <w:footnoteReference w:id="8"/>
      </w:r>
      <w:r w:rsidRPr="00814D7C">
        <w:rPr>
          <w:rFonts w:ascii="Garamond" w:hAnsi="Garamond"/>
          <w:sz w:val="24"/>
          <w:szCs w:val="24"/>
          <w:lang w:val="es-ES"/>
        </w:rPr>
        <w:t>. Dengan adanya kewenangan yang luas inilah maka marak adanya tuntutan untuk memberlakukan syari</w:t>
      </w:r>
      <w:r w:rsidR="00500F2D">
        <w:rPr>
          <w:rFonts w:ascii="Times New Roman" w:hAnsi="Times New Roman" w:cs="Times New Roman"/>
          <w:sz w:val="24"/>
          <w:szCs w:val="24"/>
          <w:lang w:val="id-ID"/>
        </w:rPr>
        <w:t>’</w:t>
      </w:r>
      <w:r w:rsidRPr="00814D7C">
        <w:rPr>
          <w:rFonts w:ascii="Garamond" w:hAnsi="Garamond"/>
          <w:sz w:val="24"/>
          <w:szCs w:val="24"/>
          <w:lang w:val="es-ES"/>
        </w:rPr>
        <w:t>at Islam di Indonesia. Tuntutan pemberlakuan syari</w:t>
      </w:r>
      <w:r w:rsidR="00500F2D">
        <w:rPr>
          <w:rFonts w:ascii="Times New Roman" w:hAnsi="Times New Roman" w:cs="Times New Roman"/>
          <w:sz w:val="24"/>
          <w:szCs w:val="24"/>
          <w:lang w:val="id-ID"/>
        </w:rPr>
        <w:t>’</w:t>
      </w:r>
      <w:r w:rsidRPr="00814D7C">
        <w:rPr>
          <w:rFonts w:ascii="Garamond" w:hAnsi="Garamond"/>
          <w:sz w:val="24"/>
          <w:szCs w:val="24"/>
          <w:lang w:val="es-ES"/>
        </w:rPr>
        <w:t xml:space="preserve">at Islam itu muncul karena selama ini masyarakat muslim telah berupaya dengan berbagai cara agar hukum Islam mendapat tempat yang lebih baik di Indonesia, karena </w:t>
      </w:r>
      <w:r w:rsidRPr="00732A50">
        <w:rPr>
          <w:rFonts w:ascii="Garamond" w:hAnsi="Garamond"/>
          <w:i/>
          <w:iCs/>
          <w:sz w:val="24"/>
          <w:szCs w:val="24"/>
          <w:lang w:val="es-ES"/>
        </w:rPr>
        <w:t>notabene</w:t>
      </w:r>
      <w:r w:rsidRPr="00814D7C">
        <w:rPr>
          <w:rFonts w:ascii="Garamond" w:hAnsi="Garamond"/>
          <w:sz w:val="24"/>
          <w:szCs w:val="24"/>
          <w:lang w:val="es-ES"/>
        </w:rPr>
        <w:t xml:space="preserve"> mayoritas penduduk Indonesia beragama Islam namun hasilnya belum memuaskan. Pada masa orde baru, hukum Islam hanya eksis pada ranah persoalan hukum keluarga, terlihat dari lahirnya beberapa peraturan yang mengatur tentang hukum Islam. UU No. 1 Tahun 1974 tentang Perkawinan, Peraturan Pemerintah No. 28 Tahun 1977 tentang Perwakafan, UU No. 7 Tahun 1989</w:t>
      </w:r>
      <w:r w:rsidRPr="00814D7C">
        <w:rPr>
          <w:rFonts w:ascii="Garamond" w:hAnsi="Garamond"/>
          <w:sz w:val="24"/>
          <w:szCs w:val="24"/>
          <w:lang w:val="id-ID"/>
        </w:rPr>
        <w:t xml:space="preserve"> </w:t>
      </w:r>
      <w:r w:rsidRPr="00814D7C">
        <w:rPr>
          <w:rFonts w:ascii="Garamond" w:hAnsi="Garamond"/>
          <w:sz w:val="24"/>
          <w:szCs w:val="24"/>
          <w:lang w:val="es-ES"/>
        </w:rPr>
        <w:t>tentang Peradilan Agama dan Instruksi Presiden No. 1 Tahun 1991 tentang Kompilasi Hukum Islam (KHI).</w:t>
      </w:r>
      <w:r w:rsidR="0069014F">
        <w:rPr>
          <w:rStyle w:val="FootnoteReference"/>
          <w:rFonts w:ascii="Garamond" w:hAnsi="Garamond"/>
          <w:sz w:val="24"/>
          <w:szCs w:val="24"/>
          <w:lang w:val="es-ES"/>
        </w:rPr>
        <w:footnoteReference w:id="9"/>
      </w:r>
      <w:r w:rsidR="0069014F" w:rsidRPr="0069014F">
        <w:rPr>
          <w:lang w:val="es-ES"/>
        </w:rPr>
        <w:t xml:space="preserve"> </w:t>
      </w:r>
    </w:p>
    <w:p w14:paraId="6CD256D6" w14:textId="77FFE54C" w:rsidR="00814D7C" w:rsidRDefault="00BD6DE1" w:rsidP="00D12FED">
      <w:pPr>
        <w:pStyle w:val="ListParagraph"/>
        <w:spacing w:before="120" w:after="120" w:line="276" w:lineRule="auto"/>
        <w:ind w:firstLine="720"/>
        <w:contextualSpacing w:val="0"/>
        <w:jc w:val="both"/>
        <w:rPr>
          <w:rFonts w:ascii="Garamond" w:hAnsi="Garamond"/>
          <w:sz w:val="24"/>
          <w:szCs w:val="24"/>
          <w:lang w:val="es-ES"/>
        </w:rPr>
      </w:pPr>
      <w:r w:rsidRPr="00814D7C">
        <w:rPr>
          <w:rFonts w:ascii="Garamond" w:hAnsi="Garamond"/>
          <w:sz w:val="24"/>
          <w:szCs w:val="24"/>
          <w:lang w:val="es-ES"/>
        </w:rPr>
        <w:t xml:space="preserve"> Apabila diamati dari tipologi masyarakat Islam Indonesia mengenai pemberlakuan hukum Islam di Indonesia, sedikitnya terdapat dua kelompok, yakni: </w:t>
      </w:r>
      <w:r w:rsidR="0069014F">
        <w:rPr>
          <w:rStyle w:val="FootnoteReference"/>
          <w:rFonts w:ascii="Garamond" w:hAnsi="Garamond"/>
          <w:sz w:val="24"/>
          <w:szCs w:val="24"/>
          <w:lang w:val="es-ES"/>
        </w:rPr>
        <w:footnoteReference w:id="10"/>
      </w:r>
      <w:r w:rsidRPr="00814D7C">
        <w:rPr>
          <w:rFonts w:ascii="Garamond" w:hAnsi="Garamond"/>
          <w:sz w:val="24"/>
          <w:szCs w:val="24"/>
          <w:lang w:val="es-ES"/>
        </w:rPr>
        <w:t xml:space="preserve">(1) Kelompok yang menekankan pada pendekatan </w:t>
      </w:r>
      <w:r w:rsidRPr="00732A50">
        <w:rPr>
          <w:rFonts w:ascii="Garamond" w:hAnsi="Garamond"/>
          <w:i/>
          <w:iCs/>
          <w:sz w:val="24"/>
          <w:szCs w:val="24"/>
          <w:lang w:val="es-ES"/>
        </w:rPr>
        <w:t>normatif</w:t>
      </w:r>
      <w:r w:rsidRPr="00814D7C">
        <w:rPr>
          <w:rFonts w:ascii="Garamond" w:hAnsi="Garamond"/>
          <w:sz w:val="24"/>
          <w:szCs w:val="24"/>
          <w:lang w:val="es-ES"/>
        </w:rPr>
        <w:t xml:space="preserve"> (formalisme), dan (2) Kelompok yang menekankan pada pendekatan </w:t>
      </w:r>
      <w:r w:rsidRPr="00732A50">
        <w:rPr>
          <w:rFonts w:ascii="Garamond" w:hAnsi="Garamond"/>
          <w:i/>
          <w:iCs/>
          <w:sz w:val="24"/>
          <w:szCs w:val="24"/>
          <w:lang w:val="es-ES"/>
        </w:rPr>
        <w:t>kultural</w:t>
      </w:r>
      <w:r w:rsidRPr="00814D7C">
        <w:rPr>
          <w:rFonts w:ascii="Garamond" w:hAnsi="Garamond"/>
          <w:sz w:val="24"/>
          <w:szCs w:val="24"/>
          <w:lang w:val="es-ES"/>
        </w:rPr>
        <w:t xml:space="preserve"> (budaya) Menurut pendapat kelompok yang setuju dengan formalisasi, hukum Islam harus diterapkan kepada mereka yang sudah mengucapkan dua kalimat syahadat atau sudah masuk Islam. Dengan dianutnya ajaran agama Islam, kelompok ini memandang wajib adanya menjalankan hukum Islam dalam kehidupan sehari-hari. Oleh karena itu proses kehidupan politik, termasuk partai politik adalah sebagai alat untuk menerapkan Islam secara normatif dan formal. Konsekuensinya, pelaksanaan Piagam Jakarta menjadi persoalan yang sangat besar dan serius, yang harus terus diperjuangkan. Oleh karena itu karena merupakan satu-satunya cara untuk penerapan hukum Islam secara formal.</w:t>
      </w:r>
      <w:r w:rsidR="00BE5622">
        <w:rPr>
          <w:rStyle w:val="FootnoteReference"/>
          <w:rFonts w:ascii="Garamond" w:hAnsi="Garamond"/>
          <w:sz w:val="24"/>
          <w:szCs w:val="24"/>
          <w:lang w:val="es-ES"/>
        </w:rPr>
        <w:footnoteReference w:id="11"/>
      </w:r>
    </w:p>
    <w:p w14:paraId="7A6BD92A" w14:textId="0CCE2446" w:rsidR="00814D7C" w:rsidRDefault="00BD6DE1" w:rsidP="00D12FED">
      <w:pPr>
        <w:pStyle w:val="ListParagraph"/>
        <w:spacing w:before="120" w:after="120" w:line="276" w:lineRule="auto"/>
        <w:ind w:firstLine="720"/>
        <w:contextualSpacing w:val="0"/>
        <w:jc w:val="both"/>
        <w:rPr>
          <w:rFonts w:ascii="Garamond" w:hAnsi="Garamond"/>
          <w:sz w:val="24"/>
          <w:szCs w:val="24"/>
          <w:lang w:val="es-ES"/>
        </w:rPr>
      </w:pPr>
      <w:r w:rsidRPr="00814D7C">
        <w:rPr>
          <w:rFonts w:ascii="Garamond" w:hAnsi="Garamond"/>
          <w:sz w:val="24"/>
          <w:szCs w:val="24"/>
          <w:lang w:val="es-ES"/>
        </w:rPr>
        <w:t xml:space="preserve"> Tipologi kelompok masyarakat Indonesia yang kedua adalah pendekatan kultural. </w:t>
      </w:r>
      <w:r w:rsidRPr="0008497B">
        <w:rPr>
          <w:rFonts w:ascii="Garamond" w:hAnsi="Garamond"/>
          <w:sz w:val="24"/>
          <w:szCs w:val="24"/>
          <w:lang w:val="es-ES"/>
        </w:rPr>
        <w:t>Menurut pendapat kelompok ini bahwa yang terpenting bukanlah formalisasi penerapan hukum Islam atau pendekatan normatif ideologis. Yang lebih penting dari itu semua adalah penyerapan nilai-nilai hukum Islam ke dalam masyarakat (pendekatan substansial)</w:t>
      </w:r>
      <w:r w:rsidR="00BE5622">
        <w:rPr>
          <w:rStyle w:val="FootnoteReference"/>
          <w:rFonts w:ascii="Garamond" w:hAnsi="Garamond"/>
          <w:sz w:val="24"/>
          <w:szCs w:val="24"/>
          <w:lang w:val="es-ES"/>
        </w:rPr>
        <w:footnoteReference w:id="12"/>
      </w:r>
      <w:r w:rsidRPr="0008497B">
        <w:rPr>
          <w:rFonts w:ascii="Garamond" w:hAnsi="Garamond"/>
          <w:sz w:val="24"/>
          <w:szCs w:val="24"/>
          <w:lang w:val="es-ES"/>
        </w:rPr>
        <w:t>.</w:t>
      </w:r>
      <w:r w:rsidRPr="00814D7C">
        <w:rPr>
          <w:rFonts w:ascii="Garamond" w:hAnsi="Garamond"/>
          <w:sz w:val="24"/>
          <w:szCs w:val="24"/>
          <w:lang w:val="es-ES"/>
        </w:rPr>
        <w:t xml:space="preserve"> Dengan heterogenitas masyarakat Indonesia telah menciptakan pluralisme dan dualisme hukum menjadi ganjalan bagi reformasi hukum. Kuatnya tingkat ketergantungan pada produk hukum warisan Hindia Belanda dilihat dari bebrapa aturan perundan</w:t>
      </w:r>
      <w:r w:rsidR="009A4133" w:rsidRPr="00814D7C">
        <w:rPr>
          <w:rFonts w:ascii="Garamond" w:hAnsi="Garamond"/>
          <w:sz w:val="24"/>
          <w:szCs w:val="24"/>
          <w:lang w:val="id-ID"/>
        </w:rPr>
        <w:t xml:space="preserve">g </w:t>
      </w:r>
      <w:r w:rsidRPr="00814D7C">
        <w:rPr>
          <w:rFonts w:ascii="Garamond" w:hAnsi="Garamond"/>
          <w:sz w:val="24"/>
          <w:szCs w:val="24"/>
          <w:lang w:val="es-ES"/>
        </w:rPr>
        <w:t>undangan yang merupakan warisan dari penjajahan kolonila Belanda. Hal ini menimbulkan sebuah konsekuensi logis yakni</w:t>
      </w:r>
      <w:r w:rsidR="009A4133" w:rsidRPr="00814D7C">
        <w:rPr>
          <w:rFonts w:ascii="Garamond" w:hAnsi="Garamond"/>
          <w:sz w:val="24"/>
          <w:szCs w:val="24"/>
          <w:lang w:val="id-ID"/>
        </w:rPr>
        <w:t xml:space="preserve"> </w:t>
      </w:r>
      <w:r w:rsidR="009A4133" w:rsidRPr="00814D7C">
        <w:rPr>
          <w:rFonts w:ascii="Garamond" w:hAnsi="Garamond"/>
          <w:sz w:val="24"/>
          <w:szCs w:val="24"/>
          <w:lang w:val="es-ES"/>
        </w:rPr>
        <w:t>terjadinya pengelompokan hukum: (1)kelompok pembela hukum adat, (2) kelompok pembela hukum Islam, dan (3) kelompok pembela hukum Belanda.</w:t>
      </w:r>
      <w:r w:rsidR="00BE5622">
        <w:rPr>
          <w:rStyle w:val="FootnoteReference"/>
          <w:rFonts w:ascii="Garamond" w:hAnsi="Garamond"/>
          <w:sz w:val="24"/>
          <w:szCs w:val="24"/>
          <w:lang w:val="es-ES"/>
        </w:rPr>
        <w:footnoteReference w:id="13"/>
      </w:r>
    </w:p>
    <w:p w14:paraId="7F5A490E" w14:textId="68B85A4A" w:rsidR="00814D7C" w:rsidRDefault="009A4133" w:rsidP="00D12FED">
      <w:pPr>
        <w:pStyle w:val="ListParagraph"/>
        <w:spacing w:before="120" w:after="120" w:line="276" w:lineRule="auto"/>
        <w:ind w:firstLine="720"/>
        <w:contextualSpacing w:val="0"/>
        <w:jc w:val="both"/>
        <w:rPr>
          <w:rFonts w:ascii="Garamond" w:hAnsi="Garamond"/>
          <w:sz w:val="24"/>
          <w:szCs w:val="24"/>
          <w:lang w:val="es-ES"/>
        </w:rPr>
      </w:pPr>
      <w:r w:rsidRPr="00814D7C">
        <w:rPr>
          <w:rFonts w:ascii="Garamond" w:hAnsi="Garamond"/>
          <w:sz w:val="24"/>
          <w:szCs w:val="24"/>
          <w:lang w:val="es-ES"/>
        </w:rPr>
        <w:t>Menurut Jimly Asshiddiqie, syar</w:t>
      </w:r>
      <w:r w:rsidR="00732A50">
        <w:rPr>
          <w:rFonts w:ascii="Garamond" w:hAnsi="Garamond"/>
          <w:sz w:val="24"/>
          <w:szCs w:val="24"/>
          <w:lang w:val="id-ID"/>
        </w:rPr>
        <w:t>i’</w:t>
      </w:r>
      <w:r w:rsidR="00E20579">
        <w:rPr>
          <w:rFonts w:ascii="Garamond" w:hAnsi="Garamond"/>
          <w:sz w:val="24"/>
          <w:szCs w:val="24"/>
          <w:lang w:val="id-ID"/>
        </w:rPr>
        <w:t xml:space="preserve"> </w:t>
      </w:r>
      <w:r w:rsidRPr="00814D7C">
        <w:rPr>
          <w:rFonts w:ascii="Garamond" w:hAnsi="Garamond"/>
          <w:sz w:val="24"/>
          <w:szCs w:val="24"/>
          <w:lang w:val="es-ES"/>
        </w:rPr>
        <w:t>at Islam haruslah dan wajib untuk diberlakukan, dan pada dasarnya syar</w:t>
      </w:r>
      <w:r w:rsidR="00732A50">
        <w:rPr>
          <w:rFonts w:ascii="Garamond" w:hAnsi="Garamond"/>
          <w:sz w:val="24"/>
          <w:szCs w:val="24"/>
          <w:lang w:val="id-ID"/>
        </w:rPr>
        <w:t>i’</w:t>
      </w:r>
      <w:r w:rsidRPr="00814D7C">
        <w:rPr>
          <w:rFonts w:ascii="Garamond" w:hAnsi="Garamond"/>
          <w:sz w:val="24"/>
          <w:szCs w:val="24"/>
          <w:lang w:val="es-ES"/>
        </w:rPr>
        <w:t>at Islam berlaku sampai kapanpun bagi kalangan umat Islam. Akan tetapi kedudukan syar</w:t>
      </w:r>
      <w:r w:rsidR="00732A50">
        <w:rPr>
          <w:rFonts w:ascii="Garamond" w:hAnsi="Garamond"/>
          <w:sz w:val="24"/>
          <w:szCs w:val="24"/>
          <w:lang w:val="id-ID"/>
        </w:rPr>
        <w:t>i’</w:t>
      </w:r>
      <w:r w:rsidRPr="00814D7C">
        <w:rPr>
          <w:rFonts w:ascii="Garamond" w:hAnsi="Garamond"/>
          <w:sz w:val="24"/>
          <w:szCs w:val="24"/>
          <w:lang w:val="es-ES"/>
        </w:rPr>
        <w:t>at Islam tidak perlu untuk diperjuangkan secara politik, karena sejatinya syri</w:t>
      </w:r>
      <w:r w:rsidR="00500F2D">
        <w:rPr>
          <w:rFonts w:ascii="Times New Roman" w:hAnsi="Times New Roman" w:cs="Times New Roman"/>
          <w:sz w:val="24"/>
          <w:szCs w:val="24"/>
          <w:lang w:val="id-ID"/>
        </w:rPr>
        <w:t>’</w:t>
      </w:r>
      <w:r w:rsidRPr="00814D7C">
        <w:rPr>
          <w:rFonts w:ascii="Garamond" w:hAnsi="Garamond"/>
          <w:sz w:val="24"/>
          <w:szCs w:val="24"/>
          <w:lang w:val="es-ES"/>
        </w:rPr>
        <w:t>at Islam itu melekat dengan sendirinya seiring dianutnya ajaran agama Islam oleh sebagian besar masyarakat Indonesia. Syari</w:t>
      </w:r>
      <w:r w:rsidR="00500F2D">
        <w:rPr>
          <w:rFonts w:ascii="Times New Roman" w:hAnsi="Times New Roman" w:cs="Times New Roman"/>
          <w:sz w:val="24"/>
          <w:szCs w:val="24"/>
          <w:lang w:val="id-ID"/>
        </w:rPr>
        <w:t>’</w:t>
      </w:r>
      <w:r w:rsidRPr="00814D7C">
        <w:rPr>
          <w:rFonts w:ascii="Garamond" w:hAnsi="Garamond"/>
          <w:sz w:val="24"/>
          <w:szCs w:val="24"/>
          <w:lang w:val="es-ES"/>
        </w:rPr>
        <w:t>at Islam merupakan jalan hidup dan berlaku bagi seluruh umat Islam terlepas dari ada atau tidaknya negara. Syari</w:t>
      </w:r>
      <w:r w:rsidR="00732A50">
        <w:rPr>
          <w:rFonts w:ascii="Times New Roman" w:hAnsi="Times New Roman" w:cs="Times New Roman"/>
          <w:sz w:val="24"/>
          <w:szCs w:val="24"/>
          <w:lang w:val="id-ID"/>
        </w:rPr>
        <w:t>’</w:t>
      </w:r>
      <w:r w:rsidRPr="00814D7C">
        <w:rPr>
          <w:rFonts w:ascii="Garamond" w:hAnsi="Garamond"/>
          <w:sz w:val="24"/>
          <w:szCs w:val="24"/>
          <w:lang w:val="es-ES"/>
        </w:rPr>
        <w:t xml:space="preserve">at Islam menyangkut hukum tertinggi, yakni </w:t>
      </w:r>
      <w:r w:rsidRPr="00814D7C">
        <w:rPr>
          <w:rFonts w:ascii="Garamond" w:hAnsi="Garamond"/>
          <w:sz w:val="24"/>
          <w:szCs w:val="24"/>
          <w:lang w:val="es-ES"/>
        </w:rPr>
        <w:lastRenderedPageBreak/>
        <w:t>keyakinan manusia atas Kedaualatan Allah SWT atas dirinya, sedangkan urusan kenegaraan merupakan sebagian kecil saja dari urusan manusia.</w:t>
      </w:r>
      <w:r w:rsidR="00BE5622">
        <w:rPr>
          <w:rStyle w:val="FootnoteReference"/>
          <w:rFonts w:ascii="Garamond" w:hAnsi="Garamond"/>
          <w:sz w:val="24"/>
          <w:szCs w:val="24"/>
          <w:lang w:val="es-ES"/>
        </w:rPr>
        <w:footnoteReference w:id="14"/>
      </w:r>
    </w:p>
    <w:p w14:paraId="7D43617F" w14:textId="77777777" w:rsidR="00814D7C" w:rsidRDefault="008F273A" w:rsidP="00D12FED">
      <w:pPr>
        <w:pStyle w:val="ListParagraph"/>
        <w:spacing w:before="120" w:after="120" w:line="276" w:lineRule="auto"/>
        <w:ind w:firstLine="720"/>
        <w:contextualSpacing w:val="0"/>
        <w:jc w:val="both"/>
        <w:rPr>
          <w:rFonts w:ascii="Garamond" w:hAnsi="Garamond"/>
          <w:sz w:val="24"/>
          <w:szCs w:val="24"/>
          <w:lang w:val="es-ES"/>
        </w:rPr>
      </w:pPr>
      <w:r w:rsidRPr="00814D7C">
        <w:rPr>
          <w:rFonts w:ascii="Garamond" w:hAnsi="Garamond"/>
          <w:sz w:val="24"/>
          <w:szCs w:val="24"/>
          <w:lang w:val="es-ES"/>
        </w:rPr>
        <w:t>Formalisasi syariah Islam ke dalam muatan Perda bukan hanya tidak sesuai dengan prinsip ketatanegaraan Indonesia sebagai negara yang menganut sistem demokrasi, namun juga dianggap tidak sesuai dengan ketentuan hak asasi manusia, karena bertentangan dengan prinsip-prinsip hak asasi manusia. Materi muatan yang bersumber dari syariah Islam hanyalah mengacu pada sudut pandang salah satu agama saja yakni Islam, hal ini sangatlah bertentangan dengan prinsip non diskriminasi dan prinsip kesetaraan.</w:t>
      </w:r>
    </w:p>
    <w:p w14:paraId="365E6F8E" w14:textId="440B8725" w:rsidR="00732A50" w:rsidRPr="00396015" w:rsidRDefault="00732A50" w:rsidP="00D12FED">
      <w:pPr>
        <w:pStyle w:val="ListParagraph"/>
        <w:spacing w:before="120" w:after="120" w:line="276" w:lineRule="auto"/>
        <w:ind w:firstLine="720"/>
        <w:contextualSpacing w:val="0"/>
        <w:jc w:val="both"/>
        <w:rPr>
          <w:rFonts w:ascii="Garamond" w:hAnsi="Garamond"/>
          <w:sz w:val="24"/>
          <w:szCs w:val="24"/>
          <w:lang w:val="id-ID"/>
        </w:rPr>
      </w:pPr>
      <w:r w:rsidRPr="00732A50">
        <w:rPr>
          <w:rFonts w:ascii="Garamond" w:hAnsi="Garamond"/>
          <w:sz w:val="24"/>
          <w:szCs w:val="24"/>
          <w:lang w:val="es-ES"/>
        </w:rPr>
        <w:t xml:space="preserve">Pada tahun 1999, jumlah Perda Syariah di seluruh Indonesia hanya ada empat, yang tersebar di empat kabupaten dan kota. </w:t>
      </w:r>
      <w:r w:rsidRPr="00732A50">
        <w:rPr>
          <w:rFonts w:ascii="Garamond" w:hAnsi="Garamond"/>
          <w:sz w:val="24"/>
          <w:szCs w:val="24"/>
        </w:rPr>
        <w:t xml:space="preserve">Jumlah ini meningkat tajam dalam kurun waktu satu dekade terakhir. </w:t>
      </w:r>
      <w:r w:rsidRPr="00732A50">
        <w:rPr>
          <w:rFonts w:ascii="Garamond" w:hAnsi="Garamond"/>
          <w:sz w:val="24"/>
          <w:szCs w:val="24"/>
          <w:lang w:val="es-ES"/>
        </w:rPr>
        <w:t>Pada tahun 2013, jumlah Perda Syariah di seluruh Indonesia mencapai lebih dari 400 buah</w:t>
      </w:r>
      <w:r w:rsidR="00396015">
        <w:rPr>
          <w:rStyle w:val="FootnoteReference"/>
          <w:rFonts w:ascii="Garamond" w:hAnsi="Garamond"/>
          <w:sz w:val="24"/>
          <w:szCs w:val="24"/>
          <w:lang w:val="id-ID"/>
        </w:rPr>
        <w:footnoteReference w:id="15"/>
      </w:r>
      <w:r w:rsidR="00396015">
        <w:rPr>
          <w:rFonts w:ascii="Garamond" w:hAnsi="Garamond"/>
          <w:sz w:val="24"/>
          <w:szCs w:val="24"/>
          <w:lang w:val="id-ID"/>
        </w:rPr>
        <w:t>.</w:t>
      </w:r>
    </w:p>
    <w:p w14:paraId="369CEA0F" w14:textId="77777777" w:rsidR="00127703" w:rsidRDefault="009A4133" w:rsidP="00D12FED">
      <w:pPr>
        <w:pStyle w:val="ListParagraph"/>
        <w:spacing w:before="120" w:after="120" w:line="276" w:lineRule="auto"/>
        <w:ind w:firstLine="720"/>
        <w:contextualSpacing w:val="0"/>
        <w:jc w:val="both"/>
        <w:rPr>
          <w:rFonts w:ascii="Garamond" w:hAnsi="Garamond"/>
          <w:sz w:val="24"/>
          <w:szCs w:val="24"/>
          <w:lang w:val="es-ES"/>
        </w:rPr>
      </w:pPr>
      <w:r w:rsidRPr="00396015">
        <w:rPr>
          <w:rFonts w:ascii="Garamond" w:hAnsi="Garamond"/>
          <w:sz w:val="24"/>
          <w:szCs w:val="24"/>
          <w:lang w:val="id-ID"/>
        </w:rPr>
        <w:t>Sejak bermunculan Perda-Perda Syari</w:t>
      </w:r>
      <w:r w:rsidR="00F11C12">
        <w:rPr>
          <w:rFonts w:ascii="Times New Roman" w:hAnsi="Times New Roman" w:cs="Times New Roman"/>
          <w:sz w:val="24"/>
          <w:szCs w:val="24"/>
          <w:lang w:val="id-ID"/>
        </w:rPr>
        <w:t>’</w:t>
      </w:r>
      <w:r w:rsidRPr="00396015">
        <w:rPr>
          <w:rFonts w:ascii="Garamond" w:hAnsi="Garamond"/>
          <w:sz w:val="24"/>
          <w:szCs w:val="24"/>
          <w:lang w:val="id-ID"/>
        </w:rPr>
        <w:t xml:space="preserve">ah, dalam implementasinya banyak ditemukan sejumlah Perda yang materi muatannya bersinggungan dengan materi muatan Hak Asasi Manusia yang dimuat dalam konstitusi. </w:t>
      </w:r>
      <w:r w:rsidRPr="00814D7C">
        <w:rPr>
          <w:rFonts w:ascii="Garamond" w:hAnsi="Garamond"/>
          <w:sz w:val="24"/>
          <w:szCs w:val="24"/>
          <w:lang w:val="es-ES"/>
        </w:rPr>
        <w:t>Sebagian kalangan memandang bahwa Perda-Perda ini bertentangan dengan dengan hak-hak asasi manusia yang telah secara tegas dimuat dalam UUD NRI 1945. Hak asasi yang yang dimaksud dalam UUD NRI 1945 adalah:</w:t>
      </w:r>
    </w:p>
    <w:p w14:paraId="5BE982B1" w14:textId="77777777" w:rsidR="00127703" w:rsidRDefault="009A4133" w:rsidP="00D12FED">
      <w:pPr>
        <w:pStyle w:val="ListParagraph"/>
        <w:numPr>
          <w:ilvl w:val="0"/>
          <w:numId w:val="5"/>
        </w:numPr>
        <w:spacing w:before="120" w:after="120" w:line="276" w:lineRule="auto"/>
        <w:contextualSpacing w:val="0"/>
        <w:jc w:val="both"/>
        <w:rPr>
          <w:rFonts w:ascii="Garamond" w:hAnsi="Garamond"/>
          <w:sz w:val="24"/>
          <w:szCs w:val="24"/>
        </w:rPr>
      </w:pPr>
      <w:r w:rsidRPr="00127703">
        <w:rPr>
          <w:rFonts w:ascii="Garamond" w:hAnsi="Garamond"/>
          <w:sz w:val="24"/>
          <w:szCs w:val="24"/>
        </w:rPr>
        <w:t>Hak untuk hidup dan mempertahankan kehidupannya (Pasal 28 A)</w:t>
      </w:r>
    </w:p>
    <w:p w14:paraId="35154C5B" w14:textId="3304D844" w:rsidR="00127703" w:rsidRPr="00127703" w:rsidRDefault="009A4133" w:rsidP="00D12FED">
      <w:pPr>
        <w:pStyle w:val="ListParagraph"/>
        <w:numPr>
          <w:ilvl w:val="0"/>
          <w:numId w:val="5"/>
        </w:numPr>
        <w:spacing w:before="120" w:after="120" w:line="276" w:lineRule="auto"/>
        <w:contextualSpacing w:val="0"/>
        <w:jc w:val="both"/>
        <w:rPr>
          <w:rFonts w:ascii="Garamond" w:hAnsi="Garamond"/>
          <w:sz w:val="24"/>
          <w:szCs w:val="24"/>
          <w:lang w:val="es-ES"/>
        </w:rPr>
      </w:pPr>
      <w:r w:rsidRPr="00127703">
        <w:rPr>
          <w:rFonts w:ascii="Garamond" w:hAnsi="Garamond"/>
          <w:sz w:val="24"/>
          <w:szCs w:val="24"/>
        </w:rPr>
        <w:t xml:space="preserve"> </w:t>
      </w:r>
      <w:r w:rsidRPr="00127703">
        <w:rPr>
          <w:rFonts w:ascii="Garamond" w:hAnsi="Garamond"/>
          <w:sz w:val="24"/>
          <w:szCs w:val="24"/>
          <w:lang w:val="es-ES"/>
        </w:rPr>
        <w:t>Hak atas pengakuan, jaminan, perlindungan, dan kepastian hukum yang adil serta perlakuan yang sama dihadapan hukum (Pasal 28D ayat (1))</w:t>
      </w:r>
    </w:p>
    <w:p w14:paraId="78916DBB" w14:textId="77777777" w:rsidR="00127703" w:rsidRPr="00127703" w:rsidRDefault="009A4133" w:rsidP="00D12FED">
      <w:pPr>
        <w:pStyle w:val="ListParagraph"/>
        <w:numPr>
          <w:ilvl w:val="0"/>
          <w:numId w:val="5"/>
        </w:numPr>
        <w:spacing w:before="120" w:after="120" w:line="276" w:lineRule="auto"/>
        <w:contextualSpacing w:val="0"/>
        <w:jc w:val="both"/>
        <w:rPr>
          <w:rFonts w:ascii="Garamond" w:hAnsi="Garamond" w:cs="Calibri"/>
          <w:b/>
          <w:bCs/>
          <w:sz w:val="24"/>
          <w:szCs w:val="24"/>
          <w:lang w:val="id-ID"/>
        </w:rPr>
      </w:pPr>
      <w:r w:rsidRPr="00127703">
        <w:rPr>
          <w:rFonts w:ascii="Garamond" w:hAnsi="Garamond"/>
          <w:sz w:val="24"/>
          <w:szCs w:val="24"/>
          <w:lang w:val="es-ES"/>
        </w:rPr>
        <w:t xml:space="preserve"> Hak memperoleh kesempatan yang sama dalam pemerintahan (Pasal 28D ayat (3)</w:t>
      </w:r>
    </w:p>
    <w:p w14:paraId="16FDC6C5" w14:textId="77777777" w:rsidR="00127703" w:rsidRPr="00127703" w:rsidRDefault="009A4133" w:rsidP="00D12FED">
      <w:pPr>
        <w:pStyle w:val="ListParagraph"/>
        <w:numPr>
          <w:ilvl w:val="0"/>
          <w:numId w:val="5"/>
        </w:numPr>
        <w:spacing w:before="120" w:after="120" w:line="276" w:lineRule="auto"/>
        <w:contextualSpacing w:val="0"/>
        <w:jc w:val="both"/>
        <w:rPr>
          <w:rFonts w:ascii="Garamond" w:hAnsi="Garamond" w:cs="Calibri"/>
          <w:b/>
          <w:bCs/>
          <w:sz w:val="24"/>
          <w:szCs w:val="24"/>
          <w:lang w:val="id-ID"/>
        </w:rPr>
      </w:pPr>
      <w:r w:rsidRPr="00127703">
        <w:rPr>
          <w:rFonts w:ascii="Garamond" w:hAnsi="Garamond"/>
          <w:sz w:val="24"/>
          <w:szCs w:val="24"/>
          <w:lang w:val="id-ID"/>
        </w:rPr>
        <w:t xml:space="preserve"> Hak atas kebebasan memluk agama dan beribadah menurut keyakinan agamanya (Pasal 28E ayat (1)</w:t>
      </w:r>
    </w:p>
    <w:p w14:paraId="071868C4" w14:textId="77777777" w:rsidR="00127703" w:rsidRPr="00127703" w:rsidRDefault="009A4133" w:rsidP="00D12FED">
      <w:pPr>
        <w:pStyle w:val="ListParagraph"/>
        <w:numPr>
          <w:ilvl w:val="0"/>
          <w:numId w:val="5"/>
        </w:numPr>
        <w:spacing w:before="120" w:after="120" w:line="276" w:lineRule="auto"/>
        <w:contextualSpacing w:val="0"/>
        <w:jc w:val="both"/>
        <w:rPr>
          <w:rFonts w:ascii="Garamond" w:hAnsi="Garamond" w:cs="Calibri"/>
          <w:b/>
          <w:bCs/>
          <w:sz w:val="24"/>
          <w:szCs w:val="24"/>
          <w:lang w:val="id-ID"/>
        </w:rPr>
      </w:pPr>
      <w:r w:rsidRPr="00127703">
        <w:rPr>
          <w:rFonts w:ascii="Garamond" w:hAnsi="Garamond"/>
          <w:sz w:val="24"/>
          <w:szCs w:val="24"/>
          <w:lang w:val="id-ID"/>
        </w:rPr>
        <w:t xml:space="preserve"> Hak atas kebebasan meyekini keprcayaan, menyatakan pikiran dan sikap, sesuai dengan hati nuraninya (Pasal 28E ayat (2)</w:t>
      </w:r>
    </w:p>
    <w:p w14:paraId="2D945D56" w14:textId="77777777" w:rsidR="00127703" w:rsidRPr="00127703" w:rsidRDefault="009A4133" w:rsidP="00D12FED">
      <w:pPr>
        <w:pStyle w:val="ListParagraph"/>
        <w:numPr>
          <w:ilvl w:val="0"/>
          <w:numId w:val="5"/>
        </w:numPr>
        <w:spacing w:before="120" w:after="120" w:line="276" w:lineRule="auto"/>
        <w:contextualSpacing w:val="0"/>
        <w:jc w:val="both"/>
        <w:rPr>
          <w:rFonts w:ascii="Garamond" w:hAnsi="Garamond" w:cs="Calibri"/>
          <w:b/>
          <w:bCs/>
          <w:sz w:val="24"/>
          <w:szCs w:val="24"/>
          <w:lang w:val="id-ID"/>
        </w:rPr>
      </w:pPr>
      <w:r w:rsidRPr="00127703">
        <w:rPr>
          <w:rFonts w:ascii="Garamond" w:hAnsi="Garamond"/>
          <w:sz w:val="24"/>
          <w:szCs w:val="24"/>
          <w:lang w:val="id-ID"/>
        </w:rPr>
        <w:t>Hak atas perlindungan diri pribadi, keluarga, kehormatan, martabat, dan harta benda yang di bawah kekuasaannya serta berhak atas rasa aman dan perlindungan dari ancaman ketakutan untuk berbuat atau tidak berbuat sesuatu yang merupakan hak asasi (Pasal 28G)</w:t>
      </w:r>
    </w:p>
    <w:p w14:paraId="6D2344AA" w14:textId="56058A38" w:rsidR="00814D7C" w:rsidRPr="00127703" w:rsidRDefault="009A4133" w:rsidP="00D12FED">
      <w:pPr>
        <w:pStyle w:val="ListParagraph"/>
        <w:numPr>
          <w:ilvl w:val="0"/>
          <w:numId w:val="5"/>
        </w:numPr>
        <w:spacing w:before="120" w:after="120" w:line="276" w:lineRule="auto"/>
        <w:contextualSpacing w:val="0"/>
        <w:jc w:val="both"/>
        <w:rPr>
          <w:rFonts w:ascii="Garamond" w:hAnsi="Garamond" w:cs="Calibri"/>
          <w:b/>
          <w:bCs/>
          <w:sz w:val="24"/>
          <w:szCs w:val="24"/>
          <w:lang w:val="id-ID"/>
        </w:rPr>
      </w:pPr>
      <w:r w:rsidRPr="00127703">
        <w:rPr>
          <w:rFonts w:ascii="Garamond" w:hAnsi="Garamond"/>
          <w:sz w:val="24"/>
          <w:szCs w:val="24"/>
          <w:lang w:val="id-ID"/>
        </w:rPr>
        <w:t xml:space="preserve">Hak bebas dari perlakuan yang bersifat diskriminatif atas dasar apapun dan berhak mendapatkan perlindungan terhadap- perlakuan yang bersifat diskriminatif itu (Pasal 28I ayat (2) Perda-perda tersebut (Perda Syariah) sesungguhnya sulit untuk diuji, karena batu ujinya adalah UUD 1945. </w:t>
      </w:r>
      <w:r w:rsidRPr="001F5200">
        <w:rPr>
          <w:rFonts w:ascii="Garamond" w:hAnsi="Garamond"/>
          <w:sz w:val="24"/>
          <w:szCs w:val="24"/>
          <w:lang w:val="id-ID"/>
        </w:rPr>
        <w:t xml:space="preserve">Mahkamah Agung yang merupakan lembaga negara yang memiliki kewenangan untuk menguji Perda, tidak memungkinkan untuk mengujinya. Kalaupun dipaksakan untuk mengujinya, Mahkamah Agung hanya bisa menggunakan batu uji UU HAM. Mahkamah Konstitusi juga tidak memungkinkan </w:t>
      </w:r>
      <w:r w:rsidRPr="001F5200">
        <w:rPr>
          <w:rFonts w:ascii="Garamond" w:hAnsi="Garamond"/>
          <w:sz w:val="24"/>
          <w:szCs w:val="24"/>
          <w:lang w:val="id-ID"/>
        </w:rPr>
        <w:lastRenderedPageBreak/>
        <w:t>untuk mengujinya meskipun materi muatan Perda bersinggungan dengan materi muatan Konstitusi, karena posisi Perda berada di bawah Undang-Undang.</w:t>
      </w:r>
      <w:r w:rsidR="00396015">
        <w:rPr>
          <w:rStyle w:val="FootnoteReference"/>
          <w:rFonts w:ascii="Garamond" w:hAnsi="Garamond"/>
          <w:sz w:val="24"/>
          <w:szCs w:val="24"/>
          <w:lang w:val="es-ES"/>
        </w:rPr>
        <w:footnoteReference w:id="16"/>
      </w:r>
    </w:p>
    <w:p w14:paraId="342C9AD6" w14:textId="28479FE9" w:rsidR="00814D7C" w:rsidRPr="001F5200" w:rsidRDefault="00AE17A2" w:rsidP="00127703">
      <w:pPr>
        <w:spacing w:before="120" w:after="120"/>
        <w:ind w:left="720" w:firstLine="720"/>
        <w:jc w:val="both"/>
        <w:rPr>
          <w:rFonts w:ascii="Garamond" w:hAnsi="Garamond"/>
          <w:sz w:val="24"/>
          <w:szCs w:val="24"/>
        </w:rPr>
      </w:pPr>
      <w:r w:rsidRPr="001F5200">
        <w:rPr>
          <w:rFonts w:ascii="Garamond" w:hAnsi="Garamond"/>
          <w:sz w:val="24"/>
          <w:szCs w:val="24"/>
        </w:rPr>
        <w:t>Dalam konsep hak asasi manusia telah dicantumkan bahwa dalam suatu peraturan perundang-undangan tertulis, tidak terkecuali peraturan daerah dilarang mencantumkan salah satu materi muatan yang bersudut pandang agama dalam hal ini syariah Islam yang bersumber dari agama Islam. Materi muatan yang bersudut pandang syariah Islam telah mengandung unsur-unsur pembedaan less favourable bagi seseorang baik secara langsung maupun secara tidak langsung. Yang dimaksud dengan dampak secara langsung disini ialah dampak yang dirasakan langsung oleh diri seseorang tersebuut dari sebuah ketentuan hukum. Sedangkan dampak secara tidak langsung adalah muncul ketika dampak hukum atau dalam tataran implementasi merupakan bentuk diskriminasi walaupun hal itu tidak ditujukan untuk tujuan diskriminasi.</w:t>
      </w:r>
    </w:p>
    <w:p w14:paraId="6D728CCD" w14:textId="77777777" w:rsidR="00814D7C" w:rsidRPr="00DA6B60" w:rsidRDefault="00814D7C" w:rsidP="00061DBF">
      <w:pPr>
        <w:pStyle w:val="ListParagraph"/>
        <w:spacing w:before="120" w:after="120" w:line="276" w:lineRule="auto"/>
        <w:ind w:firstLine="720"/>
        <w:jc w:val="both"/>
        <w:rPr>
          <w:rFonts w:ascii="Garamond" w:hAnsi="Garamond" w:cs="Calibri"/>
          <w:bCs/>
          <w:sz w:val="24"/>
          <w:szCs w:val="24"/>
          <w:lang w:val="id-ID"/>
        </w:rPr>
      </w:pPr>
    </w:p>
    <w:p w14:paraId="25E371E8" w14:textId="739C9A63" w:rsidR="003045FB" w:rsidRDefault="00B17EF8" w:rsidP="00D12FED">
      <w:pPr>
        <w:pStyle w:val="ListParagraph"/>
        <w:numPr>
          <w:ilvl w:val="0"/>
          <w:numId w:val="6"/>
        </w:numPr>
        <w:spacing w:before="120" w:after="120" w:line="276" w:lineRule="auto"/>
        <w:contextualSpacing w:val="0"/>
        <w:rPr>
          <w:rFonts w:ascii="Garamond" w:hAnsi="Garamond"/>
          <w:b/>
          <w:bCs/>
          <w:sz w:val="24"/>
          <w:szCs w:val="24"/>
          <w:lang w:val="es-ES"/>
        </w:rPr>
      </w:pPr>
      <w:r>
        <w:rPr>
          <w:rFonts w:ascii="Garamond" w:hAnsi="Garamond" w:cs="Calibri"/>
          <w:b/>
          <w:bCs/>
          <w:sz w:val="24"/>
          <w:szCs w:val="24"/>
          <w:lang w:val="id-ID"/>
        </w:rPr>
        <w:t xml:space="preserve"> </w:t>
      </w:r>
      <w:r w:rsidR="00814D7C" w:rsidRPr="00814D7C">
        <w:rPr>
          <w:rFonts w:ascii="Garamond" w:hAnsi="Garamond"/>
          <w:b/>
          <w:bCs/>
          <w:sz w:val="24"/>
          <w:szCs w:val="24"/>
          <w:lang w:val="es-ES"/>
        </w:rPr>
        <w:t>Perda Syariah dan Hubunga Negara –Agama</w:t>
      </w:r>
    </w:p>
    <w:p w14:paraId="571FEC1F" w14:textId="77777777" w:rsidR="003045FB" w:rsidRDefault="00C22460" w:rsidP="003527DD">
      <w:pPr>
        <w:pStyle w:val="ListParagraph"/>
        <w:spacing w:before="120" w:after="120" w:line="276" w:lineRule="auto"/>
        <w:ind w:firstLine="720"/>
        <w:contextualSpacing w:val="0"/>
        <w:jc w:val="both"/>
        <w:rPr>
          <w:rFonts w:ascii="Garamond" w:hAnsi="Garamond"/>
          <w:sz w:val="24"/>
          <w:szCs w:val="24"/>
          <w:lang w:val="es-ES"/>
        </w:rPr>
      </w:pPr>
      <w:r w:rsidRPr="003045FB">
        <w:rPr>
          <w:rFonts w:ascii="Garamond" w:hAnsi="Garamond"/>
          <w:sz w:val="24"/>
          <w:szCs w:val="24"/>
          <w:lang w:val="es-ES"/>
        </w:rPr>
        <w:t>Agama sebagaimana dinyatakan banyak kalangan, dapat dipandang sebagai Perlu kalimat pembuka di sini untuk mengenalkan kenapa perlu menggunakan perspektif/teori hubungan agama (Islam) dan negara untuk melihat kedudukan Perda berbasis syariah di Indonesia.</w:t>
      </w:r>
    </w:p>
    <w:p w14:paraId="579AD2C9" w14:textId="128697BD" w:rsidR="003045FB" w:rsidRDefault="00C22460" w:rsidP="003527DD">
      <w:pPr>
        <w:pStyle w:val="ListParagraph"/>
        <w:spacing w:before="120" w:after="120" w:line="276" w:lineRule="auto"/>
        <w:ind w:firstLine="720"/>
        <w:contextualSpacing w:val="0"/>
        <w:jc w:val="both"/>
        <w:rPr>
          <w:rFonts w:ascii="Garamond" w:hAnsi="Garamond"/>
          <w:sz w:val="24"/>
          <w:szCs w:val="24"/>
          <w:lang w:val="id-ID"/>
        </w:rPr>
      </w:pPr>
      <w:r w:rsidRPr="003045FB">
        <w:rPr>
          <w:rFonts w:ascii="Garamond" w:hAnsi="Garamond"/>
          <w:sz w:val="24"/>
          <w:szCs w:val="24"/>
          <w:lang w:val="es-ES"/>
        </w:rPr>
        <w:t xml:space="preserve"> </w:t>
      </w:r>
      <w:r w:rsidRPr="00D15FDC">
        <w:rPr>
          <w:rFonts w:ascii="Garamond" w:hAnsi="Garamond"/>
          <w:sz w:val="24"/>
          <w:szCs w:val="24"/>
        </w:rPr>
        <w:t>Agama sebagaimana dinyatakan banyak kalangan, dapat dipandang sebagai instrumen ilahiah untuk memahami dunia</w:t>
      </w:r>
      <w:r w:rsidR="00D15FDC">
        <w:rPr>
          <w:rStyle w:val="FootnoteReference"/>
          <w:rFonts w:ascii="Garamond" w:hAnsi="Garamond"/>
          <w:sz w:val="24"/>
          <w:szCs w:val="24"/>
          <w:lang w:val="es-ES"/>
        </w:rPr>
        <w:footnoteReference w:id="17"/>
      </w:r>
      <w:r w:rsidRPr="00D15FDC">
        <w:rPr>
          <w:rFonts w:ascii="Garamond" w:hAnsi="Garamond"/>
          <w:sz w:val="24"/>
          <w:szCs w:val="24"/>
        </w:rPr>
        <w:t xml:space="preserve">. Di antara agama-agama lain, Islam sebenarnya merupakan agama yang paling mudah untuk menerima premis semacam ini. </w:t>
      </w:r>
      <w:r w:rsidRPr="00DE0EE5">
        <w:rPr>
          <w:rFonts w:ascii="Garamond" w:hAnsi="Garamond"/>
          <w:sz w:val="24"/>
          <w:szCs w:val="24"/>
        </w:rPr>
        <w:t xml:space="preserve">Alasan utamanya terletak pada ciri Islam yang paling menonjol, yaitu sifatnya yang “hadir dimana-mana” </w:t>
      </w:r>
      <w:r w:rsidRPr="00DE0EE5">
        <w:rPr>
          <w:rFonts w:ascii="Garamond" w:hAnsi="Garamond"/>
          <w:i/>
          <w:iCs/>
          <w:sz w:val="24"/>
          <w:szCs w:val="24"/>
        </w:rPr>
        <w:t>(omnipresence)</w:t>
      </w:r>
      <w:r w:rsidRPr="00DE0EE5">
        <w:rPr>
          <w:rFonts w:ascii="Garamond" w:hAnsi="Garamond"/>
          <w:sz w:val="24"/>
          <w:szCs w:val="24"/>
        </w:rPr>
        <w:t>.</w:t>
      </w:r>
      <w:r w:rsidR="00D53B7E">
        <w:rPr>
          <w:rFonts w:ascii="Garamond" w:hAnsi="Garamond"/>
          <w:sz w:val="24"/>
          <w:szCs w:val="24"/>
          <w:lang w:val="id-ID"/>
        </w:rPr>
        <w:t xml:space="preserve"> </w:t>
      </w:r>
      <w:r w:rsidRPr="00DE0EE5">
        <w:rPr>
          <w:rFonts w:ascii="Garamond" w:hAnsi="Garamond"/>
          <w:sz w:val="24"/>
          <w:szCs w:val="24"/>
          <w:lang w:val="id-ID"/>
        </w:rPr>
        <w:t>Ini sebuah pandangan yang mengakui bahwa dimana-mana kehadiran Islam selalu memberikan panduan moral yang benar bagi tindakan manusia</w:t>
      </w:r>
      <w:r w:rsidR="00D15FDC">
        <w:rPr>
          <w:rStyle w:val="FootnoteReference"/>
          <w:rFonts w:ascii="Garamond" w:hAnsi="Garamond"/>
          <w:sz w:val="24"/>
          <w:szCs w:val="24"/>
          <w:lang w:val="es-ES"/>
        </w:rPr>
        <w:footnoteReference w:id="18"/>
      </w:r>
      <w:r w:rsidRPr="00DE0EE5">
        <w:rPr>
          <w:rFonts w:ascii="Garamond" w:hAnsi="Garamond"/>
          <w:sz w:val="24"/>
          <w:szCs w:val="24"/>
          <w:lang w:val="id-ID"/>
        </w:rPr>
        <w:t>.</w:t>
      </w:r>
    </w:p>
    <w:p w14:paraId="47EA839B" w14:textId="49C6D9FF" w:rsidR="003045FB" w:rsidRPr="0008497B" w:rsidRDefault="00C22460" w:rsidP="003527DD">
      <w:pPr>
        <w:pStyle w:val="ListParagraph"/>
        <w:spacing w:before="120" w:after="120" w:line="276" w:lineRule="auto"/>
        <w:ind w:firstLine="720"/>
        <w:contextualSpacing w:val="0"/>
        <w:jc w:val="both"/>
        <w:rPr>
          <w:rFonts w:ascii="Garamond" w:hAnsi="Garamond"/>
          <w:sz w:val="24"/>
          <w:szCs w:val="24"/>
          <w:lang w:val="id-ID"/>
        </w:rPr>
      </w:pPr>
      <w:r w:rsidRPr="003045FB">
        <w:rPr>
          <w:rFonts w:ascii="Garamond" w:hAnsi="Garamond"/>
          <w:sz w:val="24"/>
          <w:szCs w:val="24"/>
          <w:lang w:val="id-ID"/>
        </w:rPr>
        <w:t xml:space="preserve"> Pandangan ini telah mendorong sejumlah pemeluknya untuk percaya bahwa Islam mencakup cara hidup yang total. </w:t>
      </w:r>
      <w:r w:rsidRPr="0008497B">
        <w:rPr>
          <w:rFonts w:ascii="Garamond" w:hAnsi="Garamond"/>
          <w:sz w:val="24"/>
          <w:szCs w:val="24"/>
          <w:lang w:val="id-ID"/>
        </w:rPr>
        <w:t>Penjabarannya dinyatakan dalam syariah (hukum Islam. Bahkan sebagian kalangan Muslim melangkah lebih jauh dari itu: mereka menekankan bahwa Islam adalah sebuah totalitas yang padu dan menawarkan pemecahan terhadap semua masalah kehidupan</w:t>
      </w:r>
      <w:r w:rsidR="00D15FDC">
        <w:rPr>
          <w:rStyle w:val="FootnoteReference"/>
          <w:rFonts w:ascii="Garamond" w:hAnsi="Garamond"/>
          <w:sz w:val="24"/>
          <w:szCs w:val="24"/>
          <w:lang w:val="id-ID"/>
        </w:rPr>
        <w:footnoteReference w:id="19"/>
      </w:r>
    </w:p>
    <w:p w14:paraId="0DDF3F78" w14:textId="458A380D" w:rsidR="003045FB" w:rsidRDefault="00C22460" w:rsidP="003527DD">
      <w:pPr>
        <w:pStyle w:val="ListParagraph"/>
        <w:spacing w:before="120" w:after="120" w:line="276" w:lineRule="auto"/>
        <w:ind w:firstLine="720"/>
        <w:contextualSpacing w:val="0"/>
        <w:jc w:val="both"/>
        <w:rPr>
          <w:rFonts w:ascii="Garamond" w:hAnsi="Garamond"/>
          <w:sz w:val="24"/>
          <w:szCs w:val="24"/>
          <w:lang w:val="es-ES"/>
        </w:rPr>
      </w:pPr>
      <w:r w:rsidRPr="003045FB">
        <w:rPr>
          <w:rFonts w:ascii="Garamond" w:hAnsi="Garamond"/>
          <w:sz w:val="24"/>
          <w:szCs w:val="24"/>
        </w:rPr>
        <w:t xml:space="preserve">Pandangan holistik terhadap Islam tersebut mempunyai beberapa implikasi. </w:t>
      </w:r>
      <w:r w:rsidRPr="0008497B">
        <w:rPr>
          <w:rFonts w:ascii="Garamond" w:hAnsi="Garamond"/>
          <w:sz w:val="24"/>
          <w:szCs w:val="24"/>
        </w:rPr>
        <w:t>Salah satunya, pandangan itu telah mendorong lahirnya sebuah kecenderungan untuk memahami Islam dalam pengertiannya yang literal hanya menekankan dimensi “luar” (</w:t>
      </w:r>
      <w:r w:rsidRPr="0008497B">
        <w:rPr>
          <w:rFonts w:ascii="Garamond" w:hAnsi="Garamond"/>
          <w:i/>
          <w:iCs/>
          <w:sz w:val="24"/>
          <w:szCs w:val="24"/>
        </w:rPr>
        <w:t>exterio</w:t>
      </w:r>
      <w:r w:rsidRPr="0008497B">
        <w:rPr>
          <w:rFonts w:ascii="Garamond" w:hAnsi="Garamond"/>
          <w:sz w:val="24"/>
          <w:szCs w:val="24"/>
        </w:rPr>
        <w:t>r) dan mengabaikan dimensi “kontekstual” dan “dalam” (</w:t>
      </w:r>
      <w:r w:rsidRPr="0008497B">
        <w:rPr>
          <w:rFonts w:ascii="Garamond" w:hAnsi="Garamond"/>
          <w:i/>
          <w:iCs/>
          <w:sz w:val="24"/>
          <w:szCs w:val="24"/>
        </w:rPr>
        <w:t>interior)</w:t>
      </w:r>
      <w:r w:rsidRPr="0008497B">
        <w:rPr>
          <w:rFonts w:ascii="Garamond" w:hAnsi="Garamond"/>
          <w:sz w:val="24"/>
          <w:szCs w:val="24"/>
        </w:rPr>
        <w:t>. Dalam soal sifat holistik Islam ini</w:t>
      </w:r>
      <w:r w:rsidR="00D15FDC">
        <w:rPr>
          <w:rStyle w:val="FootnoteReference"/>
          <w:rFonts w:ascii="Garamond" w:hAnsi="Garamond"/>
          <w:sz w:val="24"/>
          <w:szCs w:val="24"/>
        </w:rPr>
        <w:footnoteReference w:id="20"/>
      </w:r>
      <w:r w:rsidRPr="0008497B">
        <w:rPr>
          <w:rFonts w:ascii="Garamond" w:hAnsi="Garamond"/>
          <w:sz w:val="24"/>
          <w:szCs w:val="24"/>
        </w:rPr>
        <w:t>,</w:t>
      </w:r>
      <w:r w:rsidR="00D15FDC">
        <w:rPr>
          <w:rFonts w:ascii="Garamond" w:hAnsi="Garamond"/>
          <w:sz w:val="24"/>
          <w:szCs w:val="24"/>
          <w:lang w:val="id-ID"/>
        </w:rPr>
        <w:t xml:space="preserve"> </w:t>
      </w:r>
      <w:r w:rsidRPr="0008497B">
        <w:rPr>
          <w:rFonts w:ascii="Garamond" w:hAnsi="Garamond"/>
          <w:sz w:val="24"/>
          <w:szCs w:val="24"/>
        </w:rPr>
        <w:t>ada pandangan yang salah dalam pikiran sejumlah kaum Muslim dewasa ini bahwa al-Qur</w:t>
      </w:r>
      <w:r w:rsidR="00500F2D">
        <w:rPr>
          <w:rFonts w:ascii="Times New Roman" w:hAnsi="Times New Roman" w:cs="Times New Roman"/>
          <w:sz w:val="24"/>
          <w:szCs w:val="24"/>
          <w:lang w:val="id-ID"/>
        </w:rPr>
        <w:t>’</w:t>
      </w:r>
      <w:r w:rsidRPr="0008497B">
        <w:rPr>
          <w:rFonts w:ascii="Garamond" w:hAnsi="Garamond"/>
          <w:sz w:val="24"/>
          <w:szCs w:val="24"/>
        </w:rPr>
        <w:t>an</w:t>
      </w:r>
      <w:r w:rsidR="00500F2D">
        <w:rPr>
          <w:rFonts w:ascii="Garamond" w:hAnsi="Garamond"/>
          <w:sz w:val="24"/>
          <w:szCs w:val="24"/>
          <w:lang w:val="id-ID"/>
        </w:rPr>
        <w:t xml:space="preserve"> </w:t>
      </w:r>
      <w:r w:rsidRPr="0008497B">
        <w:rPr>
          <w:rFonts w:ascii="Garamond" w:hAnsi="Garamond"/>
          <w:sz w:val="24"/>
          <w:szCs w:val="24"/>
        </w:rPr>
        <w:t>berisi penjelasan yang menyeluruh tentang segala sesuatu. Kesalahpahaman ini</w:t>
      </w:r>
      <w:r w:rsidR="003045FB">
        <w:rPr>
          <w:rFonts w:ascii="Garamond" w:hAnsi="Garamond"/>
          <w:sz w:val="24"/>
          <w:szCs w:val="24"/>
          <w:lang w:val="id-ID"/>
        </w:rPr>
        <w:t xml:space="preserve"> </w:t>
      </w:r>
      <w:r w:rsidRPr="0008497B">
        <w:rPr>
          <w:rFonts w:ascii="Garamond" w:hAnsi="Garamond"/>
          <w:sz w:val="24"/>
          <w:szCs w:val="24"/>
        </w:rPr>
        <w:t>disebabkan oleh pandangan yang keliru terhadap ayat al-Qur</w:t>
      </w:r>
      <w:r w:rsidRPr="0008497B">
        <w:rPr>
          <w:rFonts w:ascii="Times New Roman" w:hAnsi="Times New Roman" w:cs="Times New Roman"/>
          <w:sz w:val="24"/>
          <w:szCs w:val="24"/>
        </w:rPr>
        <w:t>‟</w:t>
      </w:r>
      <w:r w:rsidRPr="0008497B">
        <w:rPr>
          <w:rFonts w:ascii="Garamond" w:hAnsi="Garamond"/>
          <w:sz w:val="24"/>
          <w:szCs w:val="24"/>
        </w:rPr>
        <w:t>an</w:t>
      </w:r>
      <w:r w:rsidR="003527DD">
        <w:rPr>
          <w:rFonts w:ascii="Garamond" w:hAnsi="Garamond"/>
          <w:sz w:val="24"/>
          <w:szCs w:val="24"/>
          <w:lang w:val="id-ID"/>
        </w:rPr>
        <w:t xml:space="preserve"> </w:t>
      </w:r>
      <w:r w:rsidRPr="0008497B">
        <w:rPr>
          <w:rFonts w:ascii="Garamond" w:hAnsi="Garamond"/>
          <w:sz w:val="24"/>
          <w:szCs w:val="24"/>
        </w:rPr>
        <w:t>yang berbunyi demikan</w:t>
      </w:r>
      <w:proofErr w:type="gramStart"/>
      <w:r w:rsidRPr="0008497B">
        <w:rPr>
          <w:rFonts w:ascii="Garamond" w:hAnsi="Garamond"/>
          <w:sz w:val="24"/>
          <w:szCs w:val="24"/>
        </w:rPr>
        <w:t>:</w:t>
      </w:r>
      <w:r w:rsidRPr="0008497B">
        <w:rPr>
          <w:rFonts w:ascii="Garamond" w:hAnsi="Garamond" w:cs="Garamond"/>
          <w:sz w:val="24"/>
          <w:szCs w:val="24"/>
        </w:rPr>
        <w:t>“</w:t>
      </w:r>
      <w:proofErr w:type="gramEnd"/>
      <w:r w:rsidRPr="0008497B">
        <w:rPr>
          <w:rFonts w:ascii="Garamond" w:hAnsi="Garamond"/>
          <w:i/>
          <w:iCs/>
          <w:sz w:val="24"/>
          <w:szCs w:val="24"/>
        </w:rPr>
        <w:t>Dan Kami turunkan kepadamu Kitab Suci untuk menjelaskan segala sesuatu dan petunjuk serta rahmat dan kabar gembira bagi orang-orang yang berserah diri</w:t>
      </w:r>
      <w:r w:rsidR="00D15FDC">
        <w:rPr>
          <w:rFonts w:ascii="Garamond" w:hAnsi="Garamond" w:cs="Garamond"/>
          <w:sz w:val="24"/>
          <w:szCs w:val="24"/>
          <w:lang w:val="id-ID"/>
        </w:rPr>
        <w:t>”</w:t>
      </w:r>
      <w:r w:rsidR="00D15FDC" w:rsidRPr="0008497B">
        <w:rPr>
          <w:rFonts w:ascii="Garamond" w:hAnsi="Garamond"/>
          <w:sz w:val="24"/>
          <w:szCs w:val="24"/>
        </w:rPr>
        <w:t xml:space="preserve"> </w:t>
      </w:r>
      <w:r w:rsidR="00D15FDC">
        <w:rPr>
          <w:rStyle w:val="FootnoteReference"/>
          <w:rFonts w:ascii="Garamond" w:hAnsi="Garamond"/>
          <w:sz w:val="24"/>
          <w:szCs w:val="24"/>
        </w:rPr>
        <w:footnoteReference w:id="21"/>
      </w:r>
      <w:r w:rsidRPr="0008497B">
        <w:rPr>
          <w:rFonts w:ascii="Garamond" w:hAnsi="Garamond"/>
          <w:sz w:val="24"/>
          <w:szCs w:val="24"/>
        </w:rPr>
        <w:t>Ayat ini dimaksudkan untuk mengatakan bahwa al</w:t>
      </w:r>
      <w:r w:rsidR="003045FB" w:rsidRPr="003045FB">
        <w:rPr>
          <w:rFonts w:ascii="Garamond" w:hAnsi="Garamond"/>
          <w:sz w:val="24"/>
          <w:szCs w:val="24"/>
          <w:lang w:val="id-ID"/>
        </w:rPr>
        <w:t>-</w:t>
      </w:r>
      <w:r w:rsidRPr="0008497B">
        <w:rPr>
          <w:rFonts w:ascii="Garamond" w:hAnsi="Garamond"/>
          <w:sz w:val="24"/>
          <w:szCs w:val="24"/>
        </w:rPr>
        <w:t>Qur</w:t>
      </w:r>
      <w:r w:rsidRPr="0008497B">
        <w:rPr>
          <w:rFonts w:ascii="Times New Roman" w:hAnsi="Times New Roman" w:cs="Times New Roman"/>
          <w:sz w:val="24"/>
          <w:szCs w:val="24"/>
        </w:rPr>
        <w:t>‟</w:t>
      </w:r>
      <w:r w:rsidRPr="0008497B">
        <w:rPr>
          <w:rFonts w:ascii="Garamond" w:hAnsi="Garamond"/>
          <w:sz w:val="24"/>
          <w:szCs w:val="24"/>
        </w:rPr>
        <w:t>an</w:t>
      </w:r>
      <w:r w:rsidR="00500F2D">
        <w:rPr>
          <w:rFonts w:ascii="Garamond" w:hAnsi="Garamond"/>
          <w:sz w:val="24"/>
          <w:szCs w:val="24"/>
          <w:lang w:val="id-ID"/>
        </w:rPr>
        <w:t xml:space="preserve"> </w:t>
      </w:r>
      <w:r w:rsidRPr="0008497B">
        <w:rPr>
          <w:rFonts w:ascii="Garamond" w:hAnsi="Garamond"/>
          <w:sz w:val="24"/>
          <w:szCs w:val="24"/>
        </w:rPr>
        <w:t xml:space="preserve">mengandung penjelasan tentang segala aspek panduan moral dan bukan penjelasan terhadap </w:t>
      </w:r>
      <w:r w:rsidRPr="0008497B">
        <w:rPr>
          <w:rFonts w:ascii="Garamond" w:hAnsi="Garamond"/>
          <w:sz w:val="24"/>
          <w:szCs w:val="24"/>
        </w:rPr>
        <w:lastRenderedPageBreak/>
        <w:t xml:space="preserve">segala obyek kehidupan. </w:t>
      </w:r>
      <w:r w:rsidRPr="003045FB">
        <w:rPr>
          <w:rFonts w:ascii="Garamond" w:hAnsi="Garamond"/>
          <w:sz w:val="24"/>
          <w:szCs w:val="24"/>
          <w:lang w:val="es-ES"/>
        </w:rPr>
        <w:t>Al-Qu</w:t>
      </w:r>
      <w:r w:rsidR="00500F2D">
        <w:rPr>
          <w:rFonts w:ascii="Garamond" w:hAnsi="Garamond"/>
          <w:sz w:val="24"/>
          <w:szCs w:val="24"/>
          <w:lang w:val="id-ID"/>
        </w:rPr>
        <w:t>’</w:t>
      </w:r>
      <w:r w:rsidRPr="003045FB">
        <w:rPr>
          <w:rFonts w:ascii="Garamond" w:hAnsi="Garamond"/>
          <w:sz w:val="24"/>
          <w:szCs w:val="24"/>
          <w:lang w:val="es-ES"/>
        </w:rPr>
        <w:t>an</w:t>
      </w:r>
      <w:r w:rsidR="00500F2D">
        <w:rPr>
          <w:rFonts w:ascii="Garamond" w:hAnsi="Garamond"/>
          <w:sz w:val="24"/>
          <w:szCs w:val="24"/>
          <w:lang w:val="id-ID"/>
        </w:rPr>
        <w:t xml:space="preserve"> </w:t>
      </w:r>
      <w:r w:rsidRPr="003045FB">
        <w:rPr>
          <w:rFonts w:ascii="Garamond" w:hAnsi="Garamond"/>
          <w:sz w:val="24"/>
          <w:szCs w:val="24"/>
          <w:lang w:val="es-ES"/>
        </w:rPr>
        <w:t xml:space="preserve">itu tidak berisikan segala sesuatu yang berhubungan dengan pengetahuan umum. </w:t>
      </w:r>
    </w:p>
    <w:p w14:paraId="3EB8C85E" w14:textId="5A898BDD" w:rsidR="003527DD" w:rsidRPr="000F2B8E" w:rsidRDefault="00C22460" w:rsidP="003527DD">
      <w:pPr>
        <w:pStyle w:val="ListParagraph"/>
        <w:spacing w:before="120" w:after="120" w:line="276" w:lineRule="auto"/>
        <w:ind w:firstLine="720"/>
        <w:contextualSpacing w:val="0"/>
        <w:jc w:val="both"/>
        <w:rPr>
          <w:rFonts w:ascii="Garamond" w:hAnsi="Garamond"/>
          <w:sz w:val="24"/>
          <w:szCs w:val="24"/>
          <w:lang w:val="id-ID"/>
        </w:rPr>
      </w:pPr>
      <w:r w:rsidRPr="003045FB">
        <w:rPr>
          <w:rFonts w:ascii="Garamond" w:hAnsi="Garamond"/>
          <w:sz w:val="24"/>
          <w:szCs w:val="24"/>
          <w:lang w:val="es-ES"/>
        </w:rPr>
        <w:t>Mengakui syariah sebagai suatu sistem kehidupan yang menyeluruh merupakan suatu hal, sementara memahaminya secara benar adalah hal lain lagi. Bahkan, dalam konteks bagaimana syariah harus dipahami inilah, sebagaimana dilihat oleh Fazlur Rahman, terletak persoalan yang sebenarnya. Ada sejumlah faktor yang mempengaruhi dan membentuk hasil pemahaman kaum Muslim terhadap syariat. Situasi ideologis, cultural, dan intelektual, atau apa yang disebut</w:t>
      </w:r>
      <w:r w:rsidR="003045FB" w:rsidRPr="003045FB">
        <w:rPr>
          <w:rFonts w:ascii="Garamond" w:hAnsi="Garamond"/>
          <w:sz w:val="24"/>
          <w:szCs w:val="24"/>
          <w:lang w:val="id-ID"/>
        </w:rPr>
        <w:t xml:space="preserve"> </w:t>
      </w:r>
      <w:r w:rsidR="003045FB" w:rsidRPr="003045FB">
        <w:rPr>
          <w:rFonts w:ascii="Garamond" w:hAnsi="Garamond"/>
          <w:sz w:val="24"/>
          <w:szCs w:val="24"/>
          <w:lang w:val="es-ES"/>
        </w:rPr>
        <w:t xml:space="preserve">Arkoun sebagai “estetika penerimaan” </w:t>
      </w:r>
      <w:r w:rsidR="003045FB" w:rsidRPr="003527DD">
        <w:rPr>
          <w:rFonts w:ascii="Garamond" w:hAnsi="Garamond"/>
          <w:i/>
          <w:iCs/>
          <w:sz w:val="24"/>
          <w:szCs w:val="24"/>
          <w:lang w:val="es-ES"/>
        </w:rPr>
        <w:t>(aesthetics of reception</w:t>
      </w:r>
      <w:r w:rsidR="003045FB" w:rsidRPr="003045FB">
        <w:rPr>
          <w:rFonts w:ascii="Garamond" w:hAnsi="Garamond"/>
          <w:sz w:val="24"/>
          <w:szCs w:val="24"/>
          <w:lang w:val="es-ES"/>
        </w:rPr>
        <w:t>), sangat berpengaruh dalam menentukan bentuk dan isi pemahaman</w:t>
      </w:r>
      <w:r w:rsidR="00D15FDC">
        <w:rPr>
          <w:rStyle w:val="FootnoteReference"/>
          <w:rFonts w:ascii="Garamond" w:hAnsi="Garamond"/>
          <w:sz w:val="24"/>
          <w:szCs w:val="24"/>
          <w:lang w:val="es-ES"/>
        </w:rPr>
        <w:footnoteReference w:id="22"/>
      </w:r>
      <w:r w:rsidR="003045FB" w:rsidRPr="003045FB">
        <w:rPr>
          <w:rFonts w:ascii="Garamond" w:hAnsi="Garamond"/>
          <w:sz w:val="24"/>
          <w:szCs w:val="24"/>
          <w:lang w:val="es-ES"/>
        </w:rPr>
        <w:t>.</w:t>
      </w:r>
      <w:r w:rsidR="00D15FDC">
        <w:rPr>
          <w:rFonts w:ascii="Garamond" w:hAnsi="Garamond"/>
          <w:sz w:val="24"/>
          <w:szCs w:val="24"/>
          <w:lang w:val="id-ID"/>
        </w:rPr>
        <w:t xml:space="preserve"> </w:t>
      </w:r>
      <w:r w:rsidR="003045FB" w:rsidRPr="00D15FDC">
        <w:rPr>
          <w:rFonts w:ascii="Garamond" w:hAnsi="Garamond"/>
          <w:sz w:val="24"/>
          <w:szCs w:val="24"/>
          <w:lang w:val="id-ID"/>
        </w:rPr>
        <w:t xml:space="preserve">Karenanya kendatipun setiap Muslim menerima prinsip-prinsip umum yang tertuang dalam syariat, pemahaman mereka tentang ajaran Islam diwarnai perbedaan-perbedaan. </w:t>
      </w:r>
      <w:r w:rsidR="003045FB" w:rsidRPr="000F2B8E">
        <w:rPr>
          <w:rFonts w:ascii="Garamond" w:hAnsi="Garamond"/>
          <w:sz w:val="24"/>
          <w:szCs w:val="24"/>
          <w:lang w:val="id-ID"/>
        </w:rPr>
        <w:t>Munculnya berbagai madzhab fikih, teologi, dan filsafat Islam, misalnya menunjukkan bahwa ajaran-ajaran Islam itu multi-interpretatif. Karena itu, sebagaimana telah dikatakan oleh banyak pihak, Islam tidak bisa dan tidak seharusnya dilihat secara monolitik.</w:t>
      </w:r>
    </w:p>
    <w:p w14:paraId="003CCB3D" w14:textId="0573CB96" w:rsidR="003527DD" w:rsidRPr="003527DD" w:rsidRDefault="003045FB" w:rsidP="003527DD">
      <w:pPr>
        <w:pStyle w:val="ListParagraph"/>
        <w:spacing w:before="120" w:after="120" w:line="276" w:lineRule="auto"/>
        <w:ind w:firstLine="720"/>
        <w:contextualSpacing w:val="0"/>
        <w:jc w:val="both"/>
        <w:rPr>
          <w:rFonts w:ascii="Garamond" w:hAnsi="Garamond"/>
          <w:sz w:val="24"/>
          <w:szCs w:val="24"/>
          <w:lang w:val="es-ES"/>
        </w:rPr>
      </w:pPr>
      <w:r w:rsidRPr="003527DD">
        <w:rPr>
          <w:rFonts w:ascii="Garamond" w:hAnsi="Garamond"/>
          <w:sz w:val="24"/>
          <w:szCs w:val="24"/>
          <w:lang w:val="es-ES"/>
        </w:rPr>
        <w:t>Tentang hubungan agama dan negara dalam Islam, menurut Munawir Sjadzali</w:t>
      </w:r>
      <w:r w:rsidR="00D15FDC">
        <w:rPr>
          <w:rStyle w:val="FootnoteReference"/>
          <w:rFonts w:ascii="Garamond" w:hAnsi="Garamond"/>
          <w:sz w:val="24"/>
          <w:szCs w:val="24"/>
          <w:lang w:val="es-ES"/>
        </w:rPr>
        <w:footnoteReference w:id="23"/>
      </w:r>
      <w:r w:rsidRPr="003527DD">
        <w:rPr>
          <w:rFonts w:ascii="Garamond" w:hAnsi="Garamond"/>
          <w:sz w:val="24"/>
          <w:szCs w:val="24"/>
          <w:lang w:val="es-ES"/>
        </w:rPr>
        <w:t xml:space="preserve">, ada tiga aliran yang menanggapinya. </w:t>
      </w:r>
      <w:r w:rsidRPr="003527DD">
        <w:rPr>
          <w:rFonts w:ascii="Garamond" w:hAnsi="Garamond"/>
          <w:i/>
          <w:iCs/>
          <w:sz w:val="24"/>
          <w:szCs w:val="24"/>
          <w:lang w:val="es-ES"/>
        </w:rPr>
        <w:t>Pertama</w:t>
      </w:r>
      <w:r w:rsidRPr="003527DD">
        <w:rPr>
          <w:rFonts w:ascii="Garamond" w:hAnsi="Garamond"/>
          <w:sz w:val="24"/>
          <w:szCs w:val="24"/>
          <w:lang w:val="es-ES"/>
        </w:rPr>
        <w:t>, aliran yang menganggap bahwa Islam adalah agama yang paripurna, yang mencakup segal</w:t>
      </w:r>
      <w:r w:rsidR="003527DD">
        <w:rPr>
          <w:rFonts w:ascii="Garamond" w:hAnsi="Garamond"/>
          <w:sz w:val="24"/>
          <w:szCs w:val="24"/>
          <w:lang w:val="id-ID"/>
        </w:rPr>
        <w:t>a-</w:t>
      </w:r>
      <w:r w:rsidRPr="003527DD">
        <w:rPr>
          <w:rFonts w:ascii="Garamond" w:hAnsi="Garamond"/>
          <w:sz w:val="24"/>
          <w:szCs w:val="24"/>
          <w:lang w:val="es-ES"/>
        </w:rPr>
        <w:t xml:space="preserve">galanya, termasuk masalah negara. Oleh karena itu agama tidak dapat dipisahkan dari negara dan urusan negara adalah urusan agama serta sebaliknya.Aliran </w:t>
      </w:r>
      <w:r w:rsidRPr="003527DD">
        <w:rPr>
          <w:rFonts w:ascii="Garamond" w:hAnsi="Garamond"/>
          <w:i/>
          <w:iCs/>
          <w:sz w:val="24"/>
          <w:szCs w:val="24"/>
          <w:lang w:val="es-ES"/>
        </w:rPr>
        <w:t>kedua</w:t>
      </w:r>
      <w:r w:rsidRPr="003527DD">
        <w:rPr>
          <w:rFonts w:ascii="Garamond" w:hAnsi="Garamond"/>
          <w:sz w:val="24"/>
          <w:szCs w:val="24"/>
          <w:lang w:val="es-ES"/>
        </w:rPr>
        <w:t xml:space="preserve">, mengatakan bahwa Islam tidak ada hubungannya dengan negara karena Islam tidak mengatur kehidupan bernegara atau pemerintahan. Menurut aliran ini, Nabi Muhammad tidak punya misi untuk mendirikan negara.Aliran </w:t>
      </w:r>
      <w:r w:rsidRPr="003527DD">
        <w:rPr>
          <w:rFonts w:ascii="Garamond" w:hAnsi="Garamond"/>
          <w:i/>
          <w:iCs/>
          <w:sz w:val="24"/>
          <w:szCs w:val="24"/>
          <w:lang w:val="es-ES"/>
        </w:rPr>
        <w:t>ketiga,</w:t>
      </w:r>
      <w:r w:rsidRPr="003527DD">
        <w:rPr>
          <w:rFonts w:ascii="Garamond" w:hAnsi="Garamond"/>
          <w:sz w:val="24"/>
          <w:szCs w:val="24"/>
          <w:lang w:val="es-ES"/>
        </w:rPr>
        <w:t xml:space="preserve"> berpendapat bahwa Islam tidak mencakup segala-galanya, tapi mencakup seperangkat prinsip dan tata nilai etika tentang kehidupan bermasyarakat termasuk bernegara. Oleh karena itu, dalam bernegara, umat Islam harus mengembangkan dan melaksanakan secara garis besar oleh Islam.</w:t>
      </w:r>
    </w:p>
    <w:p w14:paraId="699D6245" w14:textId="17164C0A" w:rsidR="003527DD" w:rsidRPr="000F2B8E" w:rsidRDefault="003045FB" w:rsidP="003527DD">
      <w:pPr>
        <w:pStyle w:val="ListParagraph"/>
        <w:spacing w:before="120" w:after="120" w:line="276" w:lineRule="auto"/>
        <w:ind w:firstLine="720"/>
        <w:contextualSpacing w:val="0"/>
        <w:jc w:val="both"/>
        <w:rPr>
          <w:rFonts w:ascii="Garamond" w:hAnsi="Garamond"/>
          <w:sz w:val="24"/>
          <w:szCs w:val="24"/>
          <w:lang w:val="id-ID"/>
        </w:rPr>
      </w:pPr>
      <w:r w:rsidRPr="003527DD">
        <w:rPr>
          <w:rFonts w:ascii="Garamond" w:hAnsi="Garamond"/>
          <w:sz w:val="24"/>
          <w:szCs w:val="24"/>
          <w:lang w:val="es-ES"/>
        </w:rPr>
        <w:t xml:space="preserve">Hubungan agama dan Negara menurut Hussein Muhammad menyebutkan dua model, yaitu hubungan integralistik dan hubungan simbiosis mutualistik. </w:t>
      </w:r>
      <w:r w:rsidRPr="003527DD">
        <w:rPr>
          <w:rFonts w:ascii="Garamond" w:hAnsi="Garamond"/>
          <w:i/>
          <w:iCs/>
          <w:sz w:val="24"/>
          <w:szCs w:val="24"/>
          <w:lang w:val="es-ES"/>
        </w:rPr>
        <w:t>Pertama,</w:t>
      </w:r>
      <w:r w:rsidRPr="003527DD">
        <w:rPr>
          <w:rFonts w:ascii="Garamond" w:hAnsi="Garamond"/>
          <w:sz w:val="24"/>
          <w:szCs w:val="24"/>
          <w:lang w:val="es-ES"/>
        </w:rPr>
        <w:t xml:space="preserve"> adalah hubungan integralistik. Model hubungan ini dapat diartikan sebagai hubungan totalitas, dimana agama dan negara merupakan suatu kesatuan yang tidak dapat dipisahkan. Keduanya merupakan dua lembaga yang menyatu (</w:t>
      </w:r>
      <w:r w:rsidRPr="003527DD">
        <w:rPr>
          <w:rFonts w:ascii="Garamond" w:hAnsi="Garamond"/>
          <w:i/>
          <w:iCs/>
          <w:sz w:val="24"/>
          <w:szCs w:val="24"/>
          <w:lang w:val="es-ES"/>
        </w:rPr>
        <w:t>integral</w:t>
      </w:r>
      <w:r w:rsidRPr="003527DD">
        <w:rPr>
          <w:rFonts w:ascii="Garamond" w:hAnsi="Garamond"/>
          <w:sz w:val="24"/>
          <w:szCs w:val="24"/>
          <w:lang w:val="es-ES"/>
        </w:rPr>
        <w:t>). Ini juga memberikan pengertian bahwa negara merupakan suatu lembaga politik dan sekaligus lembaga agama</w:t>
      </w:r>
      <w:r w:rsidR="005E397E">
        <w:rPr>
          <w:rStyle w:val="FootnoteReference"/>
          <w:rFonts w:ascii="Garamond" w:hAnsi="Garamond"/>
          <w:sz w:val="24"/>
          <w:szCs w:val="24"/>
          <w:lang w:val="es-ES"/>
        </w:rPr>
        <w:footnoteReference w:id="24"/>
      </w:r>
      <w:r w:rsidRPr="003527DD">
        <w:rPr>
          <w:rFonts w:ascii="Garamond" w:hAnsi="Garamond"/>
          <w:sz w:val="24"/>
          <w:szCs w:val="24"/>
          <w:lang w:val="es-ES"/>
        </w:rPr>
        <w:t xml:space="preserve">. Amien Rais mengatakan dalam makalahnya, bahwa Islam adalah </w:t>
      </w:r>
      <w:r w:rsidRPr="003527DD">
        <w:rPr>
          <w:rFonts w:ascii="Garamond" w:hAnsi="Garamond"/>
          <w:i/>
          <w:iCs/>
          <w:sz w:val="24"/>
          <w:szCs w:val="24"/>
          <w:lang w:val="es-ES"/>
        </w:rPr>
        <w:t xml:space="preserve">dīn </w:t>
      </w:r>
      <w:r w:rsidRPr="003527DD">
        <w:rPr>
          <w:rFonts w:ascii="Garamond" w:hAnsi="Garamond"/>
          <w:sz w:val="24"/>
          <w:szCs w:val="24"/>
          <w:lang w:val="es-ES"/>
        </w:rPr>
        <w:t xml:space="preserve">dan </w:t>
      </w:r>
      <w:r w:rsidRPr="003527DD">
        <w:rPr>
          <w:rFonts w:ascii="Garamond" w:hAnsi="Garamond"/>
          <w:i/>
          <w:iCs/>
          <w:sz w:val="24"/>
          <w:szCs w:val="24"/>
          <w:lang w:val="es-ES"/>
        </w:rPr>
        <w:t>daulah</w:t>
      </w:r>
      <w:r w:rsidRPr="003527DD">
        <w:rPr>
          <w:rFonts w:ascii="Garamond" w:hAnsi="Garamond"/>
          <w:sz w:val="24"/>
          <w:szCs w:val="24"/>
          <w:lang w:val="es-ES"/>
        </w:rPr>
        <w:t xml:space="preserve"> (agama dan negara</w:t>
      </w:r>
      <w:r w:rsidR="005E397E">
        <w:rPr>
          <w:rFonts w:ascii="Garamond" w:hAnsi="Garamond"/>
          <w:sz w:val="24"/>
          <w:szCs w:val="24"/>
          <w:lang w:val="id-ID"/>
        </w:rPr>
        <w:t>).</w:t>
      </w:r>
      <w:r w:rsidR="005E397E">
        <w:rPr>
          <w:rStyle w:val="FootnoteReference"/>
          <w:rFonts w:ascii="Garamond" w:hAnsi="Garamond"/>
          <w:sz w:val="24"/>
          <w:szCs w:val="24"/>
          <w:lang w:val="id-ID"/>
        </w:rPr>
        <w:footnoteReference w:id="25"/>
      </w:r>
      <w:r w:rsidR="005E397E">
        <w:rPr>
          <w:rFonts w:ascii="Garamond" w:hAnsi="Garamond"/>
          <w:sz w:val="24"/>
          <w:szCs w:val="24"/>
          <w:lang w:val="id-ID"/>
        </w:rPr>
        <w:t xml:space="preserve"> </w:t>
      </w:r>
      <w:r w:rsidRPr="00BB1543">
        <w:rPr>
          <w:rFonts w:ascii="Garamond" w:hAnsi="Garamond"/>
          <w:sz w:val="24"/>
          <w:szCs w:val="24"/>
          <w:lang w:val="id-ID"/>
        </w:rPr>
        <w:t xml:space="preserve">Pernyataan itu juga merupakan pendapat hampir semua penulis modern. Muhammad Yusuf Musa dalam bukunya </w:t>
      </w:r>
      <w:r w:rsidRPr="00BB1543">
        <w:rPr>
          <w:rFonts w:ascii="Garamond" w:hAnsi="Garamond"/>
          <w:i/>
          <w:iCs/>
          <w:sz w:val="24"/>
          <w:szCs w:val="24"/>
          <w:lang w:val="id-ID"/>
        </w:rPr>
        <w:t>Nizhām al-Hukmi fī al-Islām</w:t>
      </w:r>
      <w:r w:rsidRPr="00BB1543">
        <w:rPr>
          <w:rFonts w:ascii="Garamond" w:hAnsi="Garamond"/>
          <w:sz w:val="24"/>
          <w:szCs w:val="24"/>
          <w:lang w:val="id-ID"/>
        </w:rPr>
        <w:t xml:space="preserve">, telah berkali-kali menegaskan bahwa Islam adalah </w:t>
      </w:r>
      <w:r w:rsidRPr="00BB1543">
        <w:rPr>
          <w:rFonts w:ascii="Garamond" w:hAnsi="Garamond"/>
          <w:i/>
          <w:iCs/>
          <w:sz w:val="24"/>
          <w:szCs w:val="24"/>
          <w:lang w:val="id-ID"/>
        </w:rPr>
        <w:t xml:space="preserve">din </w:t>
      </w:r>
      <w:r w:rsidRPr="00BB1543">
        <w:rPr>
          <w:rFonts w:ascii="Garamond" w:hAnsi="Garamond"/>
          <w:sz w:val="24"/>
          <w:szCs w:val="24"/>
          <w:lang w:val="id-ID"/>
        </w:rPr>
        <w:t xml:space="preserve">dan </w:t>
      </w:r>
      <w:r w:rsidRPr="00BB1543">
        <w:rPr>
          <w:rFonts w:ascii="Garamond" w:hAnsi="Garamond"/>
          <w:i/>
          <w:iCs/>
          <w:sz w:val="24"/>
          <w:szCs w:val="24"/>
          <w:lang w:val="id-ID"/>
        </w:rPr>
        <w:t>daulah.</w:t>
      </w:r>
      <w:r w:rsidR="00BB1543">
        <w:rPr>
          <w:rStyle w:val="FootnoteReference"/>
          <w:rFonts w:ascii="Garamond" w:hAnsi="Garamond"/>
          <w:sz w:val="24"/>
          <w:szCs w:val="24"/>
          <w:lang w:val="es-ES"/>
        </w:rPr>
        <w:footnoteReference w:id="26"/>
      </w:r>
      <w:r w:rsidRPr="00BB1543">
        <w:rPr>
          <w:rFonts w:ascii="Garamond" w:hAnsi="Garamond"/>
          <w:sz w:val="24"/>
          <w:szCs w:val="24"/>
          <w:lang w:val="id-ID"/>
        </w:rPr>
        <w:t xml:space="preserve"> </w:t>
      </w:r>
    </w:p>
    <w:p w14:paraId="28FD0E23" w14:textId="032D1E34" w:rsidR="003527DD" w:rsidRDefault="003045FB" w:rsidP="003527DD">
      <w:pPr>
        <w:pStyle w:val="ListParagraph"/>
        <w:spacing w:before="120" w:after="120" w:line="276" w:lineRule="auto"/>
        <w:ind w:firstLine="720"/>
        <w:contextualSpacing w:val="0"/>
        <w:jc w:val="both"/>
        <w:rPr>
          <w:rFonts w:ascii="Garamond" w:hAnsi="Garamond"/>
          <w:sz w:val="24"/>
          <w:szCs w:val="24"/>
          <w:lang w:val="es-ES"/>
        </w:rPr>
      </w:pPr>
      <w:r w:rsidRPr="003527DD">
        <w:rPr>
          <w:rFonts w:ascii="Garamond" w:hAnsi="Garamond"/>
          <w:sz w:val="24"/>
          <w:szCs w:val="24"/>
          <w:lang w:val="es-ES"/>
        </w:rPr>
        <w:t xml:space="preserve">Model hubungan kedua adalah hubungan simbiosis-mutualistik. Model hubungan ini, menegaskan bahwa antara agama dan negara terdapat hubungan yang saling membutuhkan. Menurut pandangan ini, agama harus dijalankan dengan baik. Hal ini hanya dapat terlaksana bila </w:t>
      </w:r>
      <w:r w:rsidRPr="003527DD">
        <w:rPr>
          <w:rFonts w:ascii="Garamond" w:hAnsi="Garamond"/>
          <w:sz w:val="24"/>
          <w:szCs w:val="24"/>
          <w:lang w:val="es-ES"/>
        </w:rPr>
        <w:lastRenderedPageBreak/>
        <w:t>ada lembaga yang bernama negara. Sementara itu negara juga tidak dapat dibiarkan berjalan sendiri tanpa agama. Sebab tanpa agama akan terjadi kekacauan dan amoral dalam Negara</w:t>
      </w:r>
      <w:r w:rsidR="00BB1543">
        <w:rPr>
          <w:rStyle w:val="FootnoteReference"/>
          <w:rFonts w:ascii="Garamond" w:hAnsi="Garamond"/>
          <w:sz w:val="24"/>
          <w:szCs w:val="24"/>
          <w:lang w:val="es-ES"/>
        </w:rPr>
        <w:footnoteReference w:id="27"/>
      </w:r>
      <w:r w:rsidRPr="003527DD">
        <w:rPr>
          <w:rFonts w:ascii="Garamond" w:hAnsi="Garamond"/>
          <w:sz w:val="24"/>
          <w:szCs w:val="24"/>
          <w:lang w:val="es-ES"/>
        </w:rPr>
        <w:t>.</w:t>
      </w:r>
    </w:p>
    <w:p w14:paraId="187D0383" w14:textId="37A7EE10" w:rsidR="003527DD" w:rsidRDefault="003045FB" w:rsidP="003527DD">
      <w:pPr>
        <w:pStyle w:val="ListParagraph"/>
        <w:spacing w:before="120" w:after="120" w:line="276" w:lineRule="auto"/>
        <w:ind w:firstLine="720"/>
        <w:contextualSpacing w:val="0"/>
        <w:jc w:val="both"/>
        <w:rPr>
          <w:rFonts w:ascii="Garamond" w:hAnsi="Garamond"/>
          <w:sz w:val="24"/>
          <w:szCs w:val="24"/>
          <w:lang w:val="es-ES"/>
        </w:rPr>
      </w:pPr>
      <w:r w:rsidRPr="003527DD">
        <w:rPr>
          <w:rFonts w:ascii="Garamond" w:hAnsi="Garamond"/>
          <w:sz w:val="24"/>
          <w:szCs w:val="24"/>
          <w:lang w:val="es-ES"/>
        </w:rPr>
        <w:t xml:space="preserve">Nurcholis Madjid, tidak menafikan hubungan antara agama dan negara. Negara adalah satu segi kehidupan duniawi yang dimensinya rasional dan kolektif. Sedangkan agama adalah aspek kehidupan lain, yang dimensinya adalah spiritual dan pribadi. Namun di antara keduanya tetap harus dibedakan dalam dimensi dan cara pendekatannya. Karena suatu negara tidak mungkin menempuh dimensi spiritual, guna mengurus dan mengawasi sikap batin warga negaranya, maka tidak mungkin pula memberikan predikat keagamaan kepada negara. Suatu lembaga kekuasaan rohani atau </w:t>
      </w:r>
      <w:r w:rsidRPr="00E20579">
        <w:rPr>
          <w:rFonts w:ascii="Garamond" w:hAnsi="Garamond"/>
          <w:i/>
          <w:iCs/>
          <w:sz w:val="24"/>
          <w:szCs w:val="24"/>
          <w:lang w:val="es-ES"/>
        </w:rPr>
        <w:t>rabbaniyah</w:t>
      </w:r>
      <w:r w:rsidRPr="003527DD">
        <w:rPr>
          <w:rFonts w:ascii="Garamond" w:hAnsi="Garamond"/>
          <w:sz w:val="24"/>
          <w:szCs w:val="24"/>
          <w:lang w:val="es-ES"/>
        </w:rPr>
        <w:t xml:space="preserve"> dalam Islam dinyatakan tidak dibenarkan. Setiap tindakan yang mengarah kekuasaan rohani atas orang lain adalah tindakan yang mengarah kepada sifat ketuhanan</w:t>
      </w:r>
      <w:r w:rsidR="00BB1543">
        <w:rPr>
          <w:rStyle w:val="FootnoteReference"/>
          <w:rFonts w:ascii="Garamond" w:hAnsi="Garamond"/>
          <w:sz w:val="24"/>
          <w:szCs w:val="24"/>
          <w:lang w:val="es-ES"/>
        </w:rPr>
        <w:footnoteReference w:id="28"/>
      </w:r>
      <w:r w:rsidRPr="003527DD">
        <w:rPr>
          <w:rFonts w:ascii="Garamond" w:hAnsi="Garamond"/>
          <w:sz w:val="24"/>
          <w:szCs w:val="24"/>
          <w:lang w:val="es-ES"/>
        </w:rPr>
        <w:t>.</w:t>
      </w:r>
    </w:p>
    <w:p w14:paraId="7C4F29CC" w14:textId="4064AC10" w:rsidR="003527DD" w:rsidRDefault="003045FB" w:rsidP="003527DD">
      <w:pPr>
        <w:pStyle w:val="ListParagraph"/>
        <w:spacing w:before="120" w:after="120" w:line="276" w:lineRule="auto"/>
        <w:ind w:firstLine="720"/>
        <w:contextualSpacing w:val="0"/>
        <w:jc w:val="both"/>
        <w:rPr>
          <w:rFonts w:ascii="Garamond" w:hAnsi="Garamond"/>
          <w:sz w:val="24"/>
          <w:szCs w:val="24"/>
          <w:lang w:val="es-ES"/>
        </w:rPr>
      </w:pPr>
      <w:r w:rsidRPr="003527DD">
        <w:rPr>
          <w:rFonts w:ascii="Garamond" w:hAnsi="Garamond"/>
          <w:sz w:val="24"/>
          <w:szCs w:val="24"/>
          <w:lang w:val="es-ES"/>
        </w:rPr>
        <w:t>Menurut Nurcholis nilai negara dan pemerintahan dalam Islam adalah instrumental dan bukan tujuan itu sendiri.Tujuan hidup umat Islam bukanlah untuk mendirikan negara, tetapi menuju kepada Tuhan dan kembali kepada-Nya. Pemerintah atau negara diwujudkan untuk menciptakan ruang dan waktu sebagai tempat bagi setiap manusia dalam mengembangkan takwa kepada Tuhannya. Jadi, hubungan agama dan negara adalah masalah etik bukan spiritual. Negara tidak mengatur dan mencampuri hubungan sprirual warga negara dengan Tuhan. Melalui negara diharapkan tercipta masyarakat etis yang dijiwai nilai-nilai keagamaan.</w:t>
      </w:r>
    </w:p>
    <w:p w14:paraId="7C36D5B4" w14:textId="2C8C25FC" w:rsidR="003045FB" w:rsidRPr="0008497B" w:rsidRDefault="003045FB" w:rsidP="003527DD">
      <w:pPr>
        <w:pStyle w:val="ListParagraph"/>
        <w:spacing w:before="120" w:after="120" w:line="276" w:lineRule="auto"/>
        <w:ind w:firstLine="720"/>
        <w:contextualSpacing w:val="0"/>
        <w:jc w:val="both"/>
        <w:rPr>
          <w:rFonts w:ascii="Garamond" w:hAnsi="Garamond"/>
          <w:sz w:val="24"/>
          <w:szCs w:val="24"/>
          <w:lang w:val="es-ES"/>
        </w:rPr>
      </w:pPr>
      <w:r w:rsidRPr="003527DD">
        <w:rPr>
          <w:rFonts w:ascii="Garamond" w:hAnsi="Garamond"/>
          <w:sz w:val="24"/>
          <w:szCs w:val="24"/>
          <w:lang w:val="es-ES"/>
        </w:rPr>
        <w:t>Perda berbasis syariah jika dihubungkan dengan negara dan agama dalam Perspektif Pancasila dapat dilihat dari kembalinya bangsa Indonesia ke UUD 1945 melalui Dekrit Presiden dengan mengaitkan Naskah Piagam Jakarta, memang secara yuridis formal belum bisa dijadikan landasan bagi berlakunya Syariat Islam di Indonesia secara utuh. Namun, hal itu telah memberikan tempat bagi kedudukan Syariat Islam di Indonesia, atau setidaknya memberikan landasan bagi terbentuknya perundang-undangan nasional yang berdasarkan Syariat Islam. Dengan kata lain, ada peluang yang diberikan oleh Konstitusi untuk dimanfaatkan umat Islam dalam pembentukan perundang-undangan nasional yang didasarkan kepada Syariat Islam</w:t>
      </w:r>
      <w:r w:rsidR="00BB1543">
        <w:rPr>
          <w:rStyle w:val="FootnoteReference"/>
          <w:rFonts w:ascii="Garamond" w:hAnsi="Garamond"/>
          <w:sz w:val="24"/>
          <w:szCs w:val="24"/>
          <w:lang w:val="es-ES"/>
        </w:rPr>
        <w:footnoteReference w:id="29"/>
      </w:r>
      <w:r w:rsidRPr="003527DD">
        <w:rPr>
          <w:rFonts w:ascii="Garamond" w:hAnsi="Garamond"/>
          <w:sz w:val="24"/>
          <w:szCs w:val="24"/>
          <w:lang w:val="es-ES"/>
        </w:rPr>
        <w:t>.</w:t>
      </w:r>
    </w:p>
    <w:p w14:paraId="1F8A44D2" w14:textId="3E9F7E12" w:rsidR="003045FB" w:rsidRPr="003045FB" w:rsidRDefault="003045FB" w:rsidP="003527DD">
      <w:pPr>
        <w:pStyle w:val="ListParagraph"/>
        <w:spacing w:before="120" w:after="120" w:line="276" w:lineRule="auto"/>
        <w:contextualSpacing w:val="0"/>
        <w:jc w:val="both"/>
        <w:rPr>
          <w:rFonts w:ascii="Garamond" w:hAnsi="Garamond"/>
          <w:sz w:val="24"/>
          <w:szCs w:val="24"/>
          <w:lang w:val="es-ES"/>
        </w:rPr>
      </w:pPr>
      <w:r w:rsidRPr="003045FB">
        <w:rPr>
          <w:rFonts w:ascii="Garamond" w:hAnsi="Garamond"/>
          <w:sz w:val="24"/>
          <w:szCs w:val="24"/>
          <w:lang w:val="es-ES"/>
        </w:rPr>
        <w:t xml:space="preserve">Pengakuan adanya Piagam Jakarta sebagai dokumen historis bagi pemerintah, berarti pengakuan pula terhadap pengaruh Piagam Jakarta bagi UUD 1945. Jadi, tidak hanya pembukaan UUD 1945, tetapi juga mengenai Pasal 29 UUD 1945, pasal yang seharusnya menjadi dasar bagi kehidupan hukum dibidang keagamaan. Dengan demikian, kata </w:t>
      </w:r>
      <w:r w:rsidR="00E20579">
        <w:rPr>
          <w:rFonts w:ascii="Garamond" w:hAnsi="Garamond"/>
          <w:sz w:val="24"/>
          <w:szCs w:val="24"/>
          <w:lang w:val="id-ID"/>
        </w:rPr>
        <w:t>“</w:t>
      </w:r>
      <w:r w:rsidRPr="003045FB">
        <w:rPr>
          <w:rFonts w:ascii="Garamond" w:hAnsi="Garamond"/>
          <w:sz w:val="24"/>
          <w:szCs w:val="24"/>
          <w:lang w:val="es-ES"/>
        </w:rPr>
        <w:t>Ketuhanan</w:t>
      </w:r>
      <w:r w:rsidRPr="003045FB">
        <w:rPr>
          <w:rFonts w:ascii="Times New Roman" w:hAnsi="Times New Roman" w:cs="Times New Roman"/>
          <w:sz w:val="24"/>
          <w:szCs w:val="24"/>
          <w:lang w:val="es-ES"/>
        </w:rPr>
        <w:t>‟</w:t>
      </w:r>
      <w:r w:rsidRPr="003045FB">
        <w:rPr>
          <w:rFonts w:ascii="Garamond" w:hAnsi="Garamond"/>
          <w:sz w:val="24"/>
          <w:szCs w:val="24"/>
          <w:lang w:val="es-ES"/>
        </w:rPr>
        <w:t xml:space="preserve"> dalam Pembukaan UUD 1945 dapat diartikan dengan “</w:t>
      </w:r>
      <w:r w:rsidRPr="00E20579">
        <w:rPr>
          <w:rFonts w:ascii="Garamond" w:hAnsi="Garamond"/>
          <w:i/>
          <w:iCs/>
          <w:sz w:val="24"/>
          <w:szCs w:val="24"/>
          <w:lang w:val="es-ES"/>
        </w:rPr>
        <w:t>Ketuhanan dengan menjalankan Syariat Islam bagi pemeluk-pemeluknya”</w:t>
      </w:r>
      <w:r w:rsidRPr="003045FB">
        <w:rPr>
          <w:rFonts w:ascii="Garamond" w:hAnsi="Garamond"/>
          <w:sz w:val="24"/>
          <w:szCs w:val="24"/>
          <w:lang w:val="es-ES"/>
        </w:rPr>
        <w:t xml:space="preserve"> sehingga atas dasar itu dapat diciptakan peraturan perundang-undangan bagi para pemeluk agama Islam yang dapat disesuaikan dengan Syariat Islam.</w:t>
      </w:r>
    </w:p>
    <w:p w14:paraId="776C8C5C" w14:textId="68616065" w:rsidR="003527DD" w:rsidRPr="000F2B8E" w:rsidRDefault="003045FB" w:rsidP="003527DD">
      <w:pPr>
        <w:pStyle w:val="ListParagraph"/>
        <w:spacing w:before="120" w:after="120" w:line="276" w:lineRule="auto"/>
        <w:contextualSpacing w:val="0"/>
        <w:jc w:val="both"/>
        <w:rPr>
          <w:rFonts w:ascii="Garamond" w:hAnsi="Garamond"/>
          <w:sz w:val="24"/>
          <w:szCs w:val="24"/>
          <w:lang w:val="id-ID"/>
        </w:rPr>
      </w:pPr>
      <w:r w:rsidRPr="003045FB">
        <w:rPr>
          <w:rFonts w:ascii="Garamond" w:hAnsi="Garamond"/>
          <w:sz w:val="24"/>
          <w:szCs w:val="24"/>
          <w:lang w:val="es-ES"/>
        </w:rPr>
        <w:t>Menurut Soepomo dalam pidatonya dengan topik Masalah Indonesia yang paling mendasar, Pancasila merupakan dasar</w:t>
      </w:r>
      <w:r w:rsidR="00D06E62">
        <w:rPr>
          <w:rFonts w:ascii="Garamond" w:hAnsi="Garamond"/>
          <w:sz w:val="24"/>
          <w:szCs w:val="24"/>
          <w:lang w:val="id-ID"/>
        </w:rPr>
        <w:t xml:space="preserve"> </w:t>
      </w:r>
      <w:r w:rsidRPr="003045FB">
        <w:rPr>
          <w:rFonts w:ascii="Garamond" w:hAnsi="Garamond"/>
          <w:sz w:val="24"/>
          <w:szCs w:val="24"/>
          <w:lang w:val="es-ES"/>
        </w:rPr>
        <w:t>negara yangmasih diperdebatkan dilembaga Konstituante.</w:t>
      </w:r>
      <w:r w:rsidR="00D06E62">
        <w:rPr>
          <w:rFonts w:ascii="Garamond" w:hAnsi="Garamond"/>
          <w:sz w:val="24"/>
          <w:szCs w:val="24"/>
          <w:lang w:val="id-ID"/>
        </w:rPr>
        <w:t xml:space="preserve"> </w:t>
      </w:r>
      <w:r w:rsidRPr="000F2B8E">
        <w:rPr>
          <w:rFonts w:ascii="Garamond" w:hAnsi="Garamond"/>
          <w:sz w:val="24"/>
          <w:szCs w:val="24"/>
          <w:lang w:val="id-ID"/>
        </w:rPr>
        <w:t>Kelompok Islam memandang bahwa secara historis bahwa Pancasila menjiwai Piagam Jakarta.</w:t>
      </w:r>
    </w:p>
    <w:p w14:paraId="3D8D6DDF" w14:textId="77777777" w:rsidR="00D06E62" w:rsidRPr="000F2B8E" w:rsidRDefault="003045FB" w:rsidP="003527DD">
      <w:pPr>
        <w:pStyle w:val="ListParagraph"/>
        <w:spacing w:before="120" w:after="120" w:line="276" w:lineRule="auto"/>
        <w:ind w:firstLine="720"/>
        <w:contextualSpacing w:val="0"/>
        <w:jc w:val="both"/>
        <w:rPr>
          <w:rFonts w:ascii="Garamond" w:hAnsi="Garamond"/>
          <w:sz w:val="24"/>
          <w:szCs w:val="24"/>
          <w:lang w:val="id-ID"/>
        </w:rPr>
      </w:pPr>
      <w:r w:rsidRPr="000F2B8E">
        <w:rPr>
          <w:rFonts w:ascii="Garamond" w:hAnsi="Garamond"/>
          <w:sz w:val="24"/>
          <w:szCs w:val="24"/>
          <w:lang w:val="id-ID"/>
        </w:rPr>
        <w:t xml:space="preserve">Bagi umat Islam cita hukum Pancasila itu tidak lain adalah bagaimana melaksanakan nilai-nilai ajaran Islam yang memiliki beberapa prinsip universal yang dapat diterima oleh semua </w:t>
      </w:r>
      <w:r w:rsidRPr="000F2B8E">
        <w:rPr>
          <w:rFonts w:ascii="Garamond" w:hAnsi="Garamond"/>
          <w:sz w:val="24"/>
          <w:szCs w:val="24"/>
          <w:lang w:val="id-ID"/>
        </w:rPr>
        <w:lastRenderedPageBreak/>
        <w:t>kelompok.26 Menurut M. Tahir Azhari, konsep negara hukum Pancasila mempunyai ciri-ciri pokok sebagai berikut ;</w:t>
      </w:r>
    </w:p>
    <w:p w14:paraId="5E5768B6" w14:textId="5A590660"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3045FB">
        <w:rPr>
          <w:rFonts w:ascii="Garamond" w:hAnsi="Garamond"/>
          <w:sz w:val="24"/>
          <w:szCs w:val="24"/>
          <w:lang w:val="es-ES"/>
        </w:rPr>
        <w:t>Ada hubungan yang erat antara agama dan Negara;</w:t>
      </w:r>
    </w:p>
    <w:p w14:paraId="2EB22E8F" w14:textId="77777777"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 Bertumpu pada Ketuhanan Yang Maha Esa; </w:t>
      </w:r>
    </w:p>
    <w:p w14:paraId="5578762B" w14:textId="77777777"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 Kebebasan beragama dalam arti positif;</w:t>
      </w:r>
    </w:p>
    <w:p w14:paraId="6074F5AE" w14:textId="77777777"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 Ateisme tidak dibenarkan dan komunisme dilarang; </w:t>
      </w:r>
    </w:p>
    <w:p w14:paraId="0639F0D6" w14:textId="77777777"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Asas kekeluargaan dan kerukunan; </w:t>
      </w:r>
    </w:p>
    <w:p w14:paraId="5BA0BE4F" w14:textId="77777777"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 Sistem konstitusi;</w:t>
      </w:r>
    </w:p>
    <w:p w14:paraId="745C2E1B" w14:textId="77777777" w:rsid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 Persamaan dalam hukum; </w:t>
      </w:r>
    </w:p>
    <w:p w14:paraId="4F6AA9D4" w14:textId="3FF9FC98" w:rsidR="003527DD" w:rsidRPr="00D53B7E" w:rsidRDefault="003045FB" w:rsidP="00D53B7E">
      <w:pPr>
        <w:pStyle w:val="ListParagraph"/>
        <w:numPr>
          <w:ilvl w:val="0"/>
          <w:numId w:val="4"/>
        </w:numPr>
        <w:spacing w:before="120" w:after="120" w:line="276" w:lineRule="auto"/>
        <w:contextualSpacing w:val="0"/>
        <w:jc w:val="both"/>
        <w:rPr>
          <w:rFonts w:ascii="Garamond" w:hAnsi="Garamond"/>
          <w:sz w:val="24"/>
          <w:szCs w:val="24"/>
          <w:lang w:val="es-ES"/>
        </w:rPr>
      </w:pPr>
      <w:r w:rsidRPr="00D53B7E">
        <w:rPr>
          <w:rFonts w:ascii="Garamond" w:hAnsi="Garamond"/>
          <w:sz w:val="24"/>
          <w:szCs w:val="24"/>
          <w:lang w:val="es-ES"/>
        </w:rPr>
        <w:t xml:space="preserve"> Peradilan bebas</w:t>
      </w:r>
      <w:r w:rsidR="00D06E62">
        <w:rPr>
          <w:rStyle w:val="FootnoteReference"/>
          <w:rFonts w:ascii="Garamond" w:hAnsi="Garamond"/>
          <w:sz w:val="24"/>
          <w:szCs w:val="24"/>
          <w:lang w:val="es-ES"/>
        </w:rPr>
        <w:footnoteReference w:id="30"/>
      </w:r>
      <w:r w:rsidR="00D06E62" w:rsidRPr="00D53B7E">
        <w:rPr>
          <w:rFonts w:ascii="Garamond" w:hAnsi="Garamond"/>
          <w:sz w:val="24"/>
          <w:szCs w:val="24"/>
          <w:lang w:val="id-ID"/>
        </w:rPr>
        <w:t>.</w:t>
      </w:r>
    </w:p>
    <w:p w14:paraId="6D59C6A1" w14:textId="64238823" w:rsidR="007248A8" w:rsidRPr="00D12FED" w:rsidRDefault="003045FB" w:rsidP="00D12FED">
      <w:pPr>
        <w:pStyle w:val="ListParagraph"/>
        <w:spacing w:before="120" w:after="120" w:line="276" w:lineRule="auto"/>
        <w:ind w:firstLine="720"/>
        <w:contextualSpacing w:val="0"/>
        <w:jc w:val="both"/>
        <w:rPr>
          <w:rFonts w:ascii="Garamond" w:hAnsi="Garamond"/>
          <w:sz w:val="24"/>
          <w:szCs w:val="24"/>
          <w:lang w:val="es-ES"/>
        </w:rPr>
      </w:pPr>
      <w:r w:rsidRPr="003527DD">
        <w:rPr>
          <w:rFonts w:ascii="Garamond" w:hAnsi="Garamond"/>
          <w:sz w:val="24"/>
          <w:szCs w:val="24"/>
          <w:lang w:val="es-ES"/>
        </w:rPr>
        <w:t>Selain hal tersebut, adanya respon beberapa daerah di Indonesia terhadap kebijakan otonomi dan disentralisasi yang bergulir sejak diberlakukannya Undang-undang No.22 Tahun 1999 tentang Pemerintahan Daerah yang kemudian diganti dengan Undang-undang No.32 Tahun 2004 tentang Pemerintahan Daerah telah membuat beberapa daerah tersebut terutama yang berbasis kultur sosiologis keagamaan sangat kuat khususnya agama Islam menuntut agar diberlakukannya Syariat Islam</w:t>
      </w:r>
      <w:r w:rsidR="00D06E62">
        <w:rPr>
          <w:rStyle w:val="FootnoteReference"/>
          <w:rFonts w:ascii="Garamond" w:hAnsi="Garamond"/>
          <w:sz w:val="24"/>
          <w:szCs w:val="24"/>
          <w:lang w:val="es-ES"/>
        </w:rPr>
        <w:footnoteReference w:id="31"/>
      </w:r>
      <w:r w:rsidRPr="003527DD">
        <w:rPr>
          <w:rFonts w:ascii="Garamond" w:hAnsi="Garamond"/>
          <w:sz w:val="24"/>
          <w:szCs w:val="24"/>
          <w:lang w:val="es-ES"/>
        </w:rPr>
        <w:t>.</w:t>
      </w:r>
    </w:p>
    <w:p w14:paraId="7E6AF0DF" w14:textId="09616F57" w:rsidR="0077041E" w:rsidRPr="00D12FED" w:rsidRDefault="002E7298" w:rsidP="00D12FED">
      <w:pPr>
        <w:pStyle w:val="ListParagraph"/>
        <w:numPr>
          <w:ilvl w:val="0"/>
          <w:numId w:val="6"/>
        </w:numPr>
        <w:spacing w:before="120" w:after="120" w:line="276" w:lineRule="auto"/>
        <w:contextualSpacing w:val="0"/>
        <w:rPr>
          <w:b/>
          <w:lang w:val="id-ID"/>
        </w:rPr>
      </w:pPr>
      <w:r w:rsidRPr="00D12FED">
        <w:rPr>
          <w:rFonts w:ascii="Garamond" w:hAnsi="Garamond"/>
          <w:b/>
          <w:bCs/>
          <w:sz w:val="24"/>
          <w:szCs w:val="24"/>
          <w:lang w:val="id-ID"/>
        </w:rPr>
        <w:t xml:space="preserve">Problematika </w:t>
      </w:r>
      <w:r w:rsidR="00D12FED" w:rsidRPr="00D12FED">
        <w:rPr>
          <w:rFonts w:ascii="Garamond" w:hAnsi="Garamond"/>
          <w:b/>
          <w:bCs/>
          <w:sz w:val="24"/>
          <w:szCs w:val="24"/>
          <w:lang w:val="id-ID"/>
        </w:rPr>
        <w:t>Perda Syariah</w:t>
      </w:r>
    </w:p>
    <w:p w14:paraId="33B1D1C0" w14:textId="717DF352" w:rsidR="00261CDB" w:rsidRDefault="002E7298" w:rsidP="00261CDB">
      <w:pPr>
        <w:pStyle w:val="ListParagraph"/>
        <w:spacing w:before="120" w:after="120" w:line="276" w:lineRule="auto"/>
        <w:ind w:firstLine="720"/>
        <w:contextualSpacing w:val="0"/>
        <w:jc w:val="both"/>
        <w:rPr>
          <w:rFonts w:ascii="Garamond" w:hAnsi="Garamond"/>
          <w:sz w:val="24"/>
          <w:szCs w:val="24"/>
          <w:lang w:val="es-ES"/>
        </w:rPr>
      </w:pPr>
      <w:r w:rsidRPr="007248A8">
        <w:rPr>
          <w:rFonts w:ascii="Garamond" w:hAnsi="Garamond"/>
          <w:sz w:val="24"/>
          <w:szCs w:val="24"/>
          <w:lang w:val="id-ID"/>
        </w:rPr>
        <w:t>Formalisasi syariah Islam di beberapa produk hukum daerah di Indonesia menyisakan fenomena yang unik untuk dikaji misalnya di Provinsi Nangroe Aceh Darussalam; Bima, Nusa Tenggara Barat; di Kabupaten Bulukumba Sulawesi Selatan; Indramayu, Tasikmalaya,</w:t>
      </w:r>
      <w:r w:rsidR="00D06E62">
        <w:rPr>
          <w:rFonts w:ascii="Garamond" w:hAnsi="Garamond"/>
          <w:sz w:val="24"/>
          <w:szCs w:val="24"/>
          <w:lang w:val="id-ID"/>
        </w:rPr>
        <w:t xml:space="preserve"> </w:t>
      </w:r>
      <w:r w:rsidRPr="007248A8">
        <w:rPr>
          <w:rFonts w:ascii="Garamond" w:hAnsi="Garamond"/>
          <w:sz w:val="24"/>
          <w:szCs w:val="24"/>
          <w:lang w:val="id-ID"/>
        </w:rPr>
        <w:t xml:space="preserve">dan Cianjur, Jawa Barat; Banten, Kota Tangerang, dan beberapa daerah lain telah. </w:t>
      </w:r>
      <w:r w:rsidRPr="007248A8">
        <w:rPr>
          <w:rFonts w:ascii="Garamond" w:hAnsi="Garamond"/>
          <w:sz w:val="24"/>
          <w:szCs w:val="24"/>
          <w:lang w:val="es-ES"/>
        </w:rPr>
        <w:t>Sebagian muatan-muatan dari perda-perda syariah di Indonesia tersebut sangat bertentangan dengan ketentuan hak asasi manusia. Selain itu Peraturan Daerah bernuansa syariah Islam juga kerap telah melanggar hak-hak perempuan dan hak-hak kebebasan sipil. Contohnya perihal cara berpakaian yang sangat dibatasi, serta ruang dan waktu gerak dari perempuan di ranah publik sangat dibatasi dan dibelenggu. Data yang dikemukakan Komnas Perempuan mencatat telah terjadi 46 kasus Pelanggaran Terhadap Perempuan hingga tahun 2005 atas pemberlakuan ini (Republik Indonesia 2006).</w:t>
      </w:r>
    </w:p>
    <w:p w14:paraId="1603CA45" w14:textId="2A73814D" w:rsidR="000F2B8E" w:rsidRDefault="002E7298" w:rsidP="00261CDB">
      <w:pPr>
        <w:pStyle w:val="ListParagraph"/>
        <w:spacing w:before="120" w:after="120" w:line="276" w:lineRule="auto"/>
        <w:ind w:firstLine="720"/>
        <w:contextualSpacing w:val="0"/>
        <w:jc w:val="both"/>
        <w:rPr>
          <w:rFonts w:ascii="Garamond" w:hAnsi="Garamond"/>
          <w:sz w:val="24"/>
          <w:szCs w:val="24"/>
          <w:lang w:val="es-ES"/>
        </w:rPr>
      </w:pPr>
      <w:r w:rsidRPr="00261CDB">
        <w:rPr>
          <w:rFonts w:ascii="Garamond" w:hAnsi="Garamond"/>
          <w:sz w:val="24"/>
          <w:szCs w:val="24"/>
          <w:lang w:val="es-ES"/>
        </w:rPr>
        <w:t xml:space="preserve">Perda bernuansa syariah Islam ini juga telah diindikasikan berpotensi menimbulkan bentuk-bentuk diskriminasi bagi masyarakat di daerah. Seperti contohnya adanya diskriminasi bagi pemeluk agama yang lain, di bulukumba, Sulawesi yang terdapat Perda yang mewajibkan setiap orang untuk belajar membaca Alquran dan di berbagai daerah lainnya yang sama-sama demikian. Hal demikian tentu sangat beretentangan dengan konsepi hak asasi manusia sehingga menjadi sorotan komunitas Hak Asasi Manusia Internasional. Fenomena ini bisa dilihat dari lahirnya peraturan daerah yang berperspektif syariah Islam, artinya memuat syariat Islam sebagai isi muatan peraturan daerah, baik pada tingkat propinsi maupun kabupaten/kota. Formalisasi syariah Islam dalam materi muatan Perda sangat beragam dari kadar syariah Islamnya yang paling rendah yang hanya mengatur masalah ibadah seperti minuman keras, pelacuran, pemberdayaan ZIS (Zakat, Infak, dan Sedekah), mengenai persoalan Jum’at khusyuk, dan </w:t>
      </w:r>
      <w:r w:rsidRPr="00261CDB">
        <w:rPr>
          <w:rFonts w:ascii="Garamond" w:hAnsi="Garamond"/>
          <w:sz w:val="24"/>
          <w:szCs w:val="24"/>
          <w:lang w:val="es-ES"/>
        </w:rPr>
        <w:lastRenderedPageBreak/>
        <w:t>keharusan bisa baca tulis al-Qur’an, serta keharusan berbusana Muslim. Sampai pada kadar syariah Islam tertinggi yaitu hukum pidana Islam yang hanya terjadi di Aceh, seperti penerapan hukum cambuk bagi penjudi dan pelaku mesum/khalwat (wanita dan laki-laki dewasa berdua-duaan di tempat sepi, ada juga di daerah lain yakni di Kota Tangerang dengan perda pelarangan wanita keluar malam (Kamil 2007).</w:t>
      </w:r>
      <w:r w:rsidR="000F2B8E">
        <w:rPr>
          <w:rStyle w:val="FootnoteReference"/>
          <w:rFonts w:ascii="Garamond" w:hAnsi="Garamond"/>
          <w:sz w:val="24"/>
          <w:szCs w:val="24"/>
          <w:lang w:val="es-ES"/>
        </w:rPr>
        <w:footnoteReference w:id="32"/>
      </w:r>
    </w:p>
    <w:p w14:paraId="4735E5D5" w14:textId="608C89CB" w:rsidR="00261CDB" w:rsidRDefault="00A7234B" w:rsidP="00261CDB">
      <w:pPr>
        <w:pStyle w:val="ListParagraph"/>
        <w:spacing w:before="120" w:after="120" w:line="276" w:lineRule="auto"/>
        <w:ind w:firstLine="720"/>
        <w:contextualSpacing w:val="0"/>
        <w:jc w:val="both"/>
        <w:rPr>
          <w:rFonts w:ascii="Garamond" w:hAnsi="Garamond"/>
          <w:sz w:val="24"/>
          <w:szCs w:val="24"/>
        </w:rPr>
      </w:pPr>
      <w:r w:rsidRPr="00261CDB">
        <w:rPr>
          <w:rFonts w:ascii="Garamond" w:hAnsi="Garamond"/>
          <w:sz w:val="24"/>
          <w:szCs w:val="24"/>
          <w:lang w:val="es-ES"/>
        </w:rPr>
        <w:t xml:space="preserve"> Namun, sanksi-sanksi yang diatur oleh Perda berbasis syariah justru tidak berdasarkan aturan pidana Syariat Islam sebagaimana diatur dalam hudūd  dan qishāsh, melainkan lebih banyak yang berprinsip diyat dan ta’zīr . </w:t>
      </w:r>
      <w:r w:rsidRPr="00261CDB">
        <w:rPr>
          <w:rFonts w:ascii="Garamond" w:hAnsi="Garamond"/>
          <w:sz w:val="24"/>
          <w:szCs w:val="24"/>
        </w:rPr>
        <w:t xml:space="preserve">Hal ini </w:t>
      </w:r>
      <w:proofErr w:type="gramStart"/>
      <w:r w:rsidRPr="00261CDB">
        <w:rPr>
          <w:rFonts w:ascii="Garamond" w:hAnsi="Garamond"/>
          <w:sz w:val="24"/>
          <w:szCs w:val="24"/>
        </w:rPr>
        <w:t>di</w:t>
      </w:r>
      <w:r w:rsidR="00261CDB">
        <w:rPr>
          <w:rFonts w:ascii="Garamond" w:hAnsi="Garamond"/>
          <w:sz w:val="24"/>
          <w:szCs w:val="24"/>
          <w:lang w:val="id-ID"/>
        </w:rPr>
        <w:t xml:space="preserve">  </w:t>
      </w:r>
      <w:r w:rsidRPr="00261CDB">
        <w:rPr>
          <w:rFonts w:ascii="Garamond" w:hAnsi="Garamond"/>
          <w:sz w:val="24"/>
          <w:szCs w:val="24"/>
        </w:rPr>
        <w:t>karenakan</w:t>
      </w:r>
      <w:proofErr w:type="gramEnd"/>
      <w:r w:rsidRPr="00261CDB">
        <w:rPr>
          <w:rFonts w:ascii="Garamond" w:hAnsi="Garamond"/>
          <w:sz w:val="24"/>
          <w:szCs w:val="24"/>
        </w:rPr>
        <w:t xml:space="preserve"> aturan yang diatur jauh lebih banyak mengenai hal-hal ringan dalam aspek Syariat Islam. Selain itu, sanksi yang boleh diberikan bagi pelanggar Perda adalah sebagaimana yang diatur dalam ketentuan Undang-undang No. 32 Tahun 2004 tentang Pemerintah Daerah Pasal (143) huruf b yaitu ancaman pidana kurungan paling lama 6 (enam) bulan atau denda paling banyak Rp. </w:t>
      </w:r>
      <w:r w:rsidRPr="00B5024A">
        <w:rPr>
          <w:rFonts w:ascii="Garamond" w:hAnsi="Garamond"/>
          <w:sz w:val="24"/>
          <w:szCs w:val="24"/>
        </w:rPr>
        <w:t>50.00</w:t>
      </w:r>
      <w:r w:rsidR="00B5024A">
        <w:rPr>
          <w:rFonts w:ascii="Garamond" w:hAnsi="Garamond"/>
          <w:sz w:val="24"/>
          <w:szCs w:val="24"/>
          <w:lang w:val="id-ID"/>
        </w:rPr>
        <w:t>0.000.,</w:t>
      </w:r>
      <w:r w:rsidRPr="00B5024A">
        <w:rPr>
          <w:rFonts w:ascii="Garamond" w:hAnsi="Garamond"/>
          <w:sz w:val="24"/>
          <w:szCs w:val="24"/>
        </w:rPr>
        <w:t>-</w:t>
      </w:r>
      <w:r w:rsidRPr="00261CDB">
        <w:rPr>
          <w:rFonts w:ascii="Garamond" w:hAnsi="Garamond"/>
          <w:sz w:val="24"/>
          <w:szCs w:val="24"/>
        </w:rPr>
        <w:t xml:space="preserve"> (lima puluh juta rupiah).</w:t>
      </w:r>
      <w:r w:rsidR="00A77602">
        <w:rPr>
          <w:rStyle w:val="FootnoteReference"/>
          <w:rFonts w:ascii="Garamond" w:hAnsi="Garamond"/>
          <w:sz w:val="24"/>
          <w:szCs w:val="24"/>
        </w:rPr>
        <w:footnoteReference w:id="33"/>
      </w:r>
    </w:p>
    <w:p w14:paraId="5A54E197" w14:textId="055F3DB1" w:rsidR="00261CDB" w:rsidRPr="00261CDB" w:rsidRDefault="002E7298" w:rsidP="00261CDB">
      <w:pPr>
        <w:pStyle w:val="ListParagraph"/>
        <w:spacing w:before="120" w:after="120" w:line="276" w:lineRule="auto"/>
        <w:ind w:firstLine="720"/>
        <w:contextualSpacing w:val="0"/>
        <w:jc w:val="both"/>
        <w:rPr>
          <w:rFonts w:ascii="Garamond" w:hAnsi="Garamond"/>
          <w:sz w:val="24"/>
          <w:szCs w:val="24"/>
        </w:rPr>
      </w:pPr>
      <w:r w:rsidRPr="00261CDB">
        <w:rPr>
          <w:rFonts w:ascii="Garamond" w:hAnsi="Garamond"/>
          <w:sz w:val="24"/>
          <w:szCs w:val="24"/>
        </w:rPr>
        <w:t>Formalisasi syariah Islam ke dalam muatan Perda bukan hanya tidak sesuai dengan prinsip ketatanegaraan Indonesia sebagai negara yang menganut sistem demokrasi, namun juga di</w:t>
      </w:r>
      <w:r w:rsidR="00261CDB">
        <w:rPr>
          <w:rFonts w:ascii="Garamond" w:hAnsi="Garamond"/>
          <w:sz w:val="24"/>
          <w:szCs w:val="24"/>
          <w:lang w:val="id-ID"/>
        </w:rPr>
        <w:t xml:space="preserve"> </w:t>
      </w:r>
      <w:r w:rsidRPr="00261CDB">
        <w:rPr>
          <w:rFonts w:ascii="Garamond" w:hAnsi="Garamond"/>
          <w:sz w:val="24"/>
          <w:szCs w:val="24"/>
        </w:rPr>
        <w:t>anggap tidak sesuai dengan ketentuan hak asasi manusia, karena bertentangan dengan prinsip-prinsip hak asasi manusia. Materi muatan yang bersumber dari syariah Islam hanyalah mengacu pada sudut pandang salah satu agama saja yakni Islam, hal ini sangatlah bertentangan dengan prinsip non diskriminasi dan prinsip kesetaraan.</w:t>
      </w:r>
    </w:p>
    <w:p w14:paraId="6B527F96" w14:textId="3CDC6C7E" w:rsidR="00B17EF8" w:rsidRPr="00F67792" w:rsidRDefault="00A7234B" w:rsidP="00F67792">
      <w:pPr>
        <w:pStyle w:val="ListParagraph"/>
        <w:spacing w:before="120" w:after="120" w:line="276" w:lineRule="auto"/>
        <w:ind w:firstLine="720"/>
        <w:contextualSpacing w:val="0"/>
        <w:jc w:val="both"/>
        <w:rPr>
          <w:rFonts w:ascii="Garamond" w:hAnsi="Garamond"/>
          <w:sz w:val="24"/>
          <w:szCs w:val="24"/>
        </w:rPr>
      </w:pPr>
      <w:r w:rsidRPr="00261CDB">
        <w:rPr>
          <w:rFonts w:ascii="Garamond" w:hAnsi="Garamond"/>
          <w:sz w:val="24"/>
          <w:szCs w:val="24"/>
        </w:rPr>
        <w:t>Dalam</w:t>
      </w:r>
      <w:r w:rsidR="00B5024A">
        <w:rPr>
          <w:rFonts w:ascii="Garamond" w:hAnsi="Garamond"/>
          <w:sz w:val="24"/>
          <w:szCs w:val="24"/>
          <w:lang w:val="id-ID"/>
        </w:rPr>
        <w:t xml:space="preserve"> </w:t>
      </w:r>
      <w:r w:rsidRPr="00261CDB">
        <w:rPr>
          <w:rFonts w:ascii="Garamond" w:hAnsi="Garamond"/>
          <w:sz w:val="24"/>
          <w:szCs w:val="24"/>
        </w:rPr>
        <w:t>konsep</w:t>
      </w:r>
      <w:r w:rsidR="00B5024A">
        <w:rPr>
          <w:rFonts w:ascii="Garamond" w:hAnsi="Garamond"/>
          <w:sz w:val="24"/>
          <w:szCs w:val="24"/>
          <w:lang w:val="id-ID"/>
        </w:rPr>
        <w:t xml:space="preserve"> </w:t>
      </w:r>
      <w:r w:rsidRPr="00261CDB">
        <w:rPr>
          <w:rFonts w:ascii="Garamond" w:hAnsi="Garamond"/>
          <w:sz w:val="24"/>
          <w:szCs w:val="24"/>
        </w:rPr>
        <w:t>hak asasi manusia telah dicantumkan bahwa dalam suatu peraturan perundang-undangan tertulis,</w:t>
      </w:r>
      <w:r w:rsidR="00B5024A">
        <w:rPr>
          <w:rFonts w:ascii="Garamond" w:hAnsi="Garamond"/>
          <w:sz w:val="24"/>
          <w:szCs w:val="24"/>
          <w:lang w:val="id-ID"/>
        </w:rPr>
        <w:t xml:space="preserve"> </w:t>
      </w:r>
      <w:r w:rsidRPr="00261CDB">
        <w:rPr>
          <w:rFonts w:ascii="Garamond" w:hAnsi="Garamond"/>
          <w:sz w:val="24"/>
          <w:szCs w:val="24"/>
        </w:rPr>
        <w:t>tidak t</w:t>
      </w:r>
      <w:r w:rsidR="00B5024A">
        <w:rPr>
          <w:rFonts w:ascii="Garamond" w:hAnsi="Garamond"/>
          <w:sz w:val="24"/>
          <w:szCs w:val="24"/>
          <w:lang w:val="id-ID"/>
        </w:rPr>
        <w:t>erkecual</w:t>
      </w:r>
      <w:r w:rsidRPr="00261CDB">
        <w:rPr>
          <w:rFonts w:ascii="Garamond" w:hAnsi="Garamond"/>
          <w:sz w:val="24"/>
          <w:szCs w:val="24"/>
        </w:rPr>
        <w:t>i peraturan daerah di</w:t>
      </w:r>
      <w:r w:rsidR="00B5024A">
        <w:rPr>
          <w:rFonts w:ascii="Garamond" w:hAnsi="Garamond"/>
          <w:sz w:val="24"/>
          <w:szCs w:val="24"/>
          <w:lang w:val="id-ID"/>
        </w:rPr>
        <w:t xml:space="preserve"> </w:t>
      </w:r>
      <w:r w:rsidRPr="00261CDB">
        <w:rPr>
          <w:rFonts w:ascii="Garamond" w:hAnsi="Garamond"/>
          <w:sz w:val="24"/>
          <w:szCs w:val="24"/>
        </w:rPr>
        <w:t>larang mencantumkan salah satu materi muatan yang bersudut pandang agama dalam hal ini syariah Islam yang be</w:t>
      </w:r>
      <w:r w:rsidR="00B5024A">
        <w:rPr>
          <w:rFonts w:ascii="Garamond" w:hAnsi="Garamond"/>
          <w:sz w:val="24"/>
          <w:szCs w:val="24"/>
          <w:lang w:val="id-ID"/>
        </w:rPr>
        <w:t>rs</w:t>
      </w:r>
      <w:r w:rsidRPr="00261CDB">
        <w:rPr>
          <w:rFonts w:ascii="Garamond" w:hAnsi="Garamond"/>
          <w:sz w:val="24"/>
          <w:szCs w:val="24"/>
        </w:rPr>
        <w:t xml:space="preserve">umber dari agama Islam. </w:t>
      </w:r>
      <w:r w:rsidRPr="000F2B8E">
        <w:rPr>
          <w:rFonts w:ascii="Garamond" w:hAnsi="Garamond"/>
          <w:sz w:val="24"/>
          <w:szCs w:val="24"/>
        </w:rPr>
        <w:t>Materi muatan yang bersudut pandang syariah Islam telah mengandung unsur-unsur pembedaan less favourable bagi seseorang baik secara langsung maupun secara tidak langsung. Yang dimaksud dengan dampak secara langsung disini ialah dampak yang dirasakan langsung oleh diri seseorang tersebuut dari sebuah ketentuan hukum. Sedangkan dampak secara tidak langsung adalah muncul ketika dampak hukum atau dalam tataran implementasi merupakan bentuk diskriminasi walaupun hal itu tidak ditujukan untuk tujuan diskriminasi.</w:t>
      </w:r>
    </w:p>
    <w:p w14:paraId="0307505A" w14:textId="77777777" w:rsidR="0072774A" w:rsidRPr="00D76965" w:rsidRDefault="0072774A" w:rsidP="002F7A2A">
      <w:pPr>
        <w:pStyle w:val="ListParagraph"/>
        <w:numPr>
          <w:ilvl w:val="0"/>
          <w:numId w:val="1"/>
        </w:numPr>
        <w:spacing w:before="120" w:after="120" w:line="276" w:lineRule="auto"/>
        <w:ind w:left="426" w:hanging="426"/>
        <w:contextualSpacing w:val="0"/>
        <w:rPr>
          <w:rFonts w:ascii="Garamond" w:hAnsi="Garamond" w:cs="Calibri"/>
          <w:b/>
          <w:bCs/>
          <w:sz w:val="24"/>
          <w:szCs w:val="24"/>
        </w:rPr>
      </w:pPr>
      <w:r w:rsidRPr="00B660CC">
        <w:rPr>
          <w:rFonts w:ascii="Garamond" w:hAnsi="Garamond" w:cs="Calibri"/>
          <w:b/>
          <w:bCs/>
          <w:sz w:val="24"/>
          <w:szCs w:val="24"/>
          <w:lang w:val="fr-FR"/>
        </w:rPr>
        <w:t>Kesimpulan</w:t>
      </w:r>
    </w:p>
    <w:p w14:paraId="4615CC77" w14:textId="26CA0F7A" w:rsidR="00A77602" w:rsidRPr="00F11C12" w:rsidRDefault="00D76965" w:rsidP="002F7A2A">
      <w:pPr>
        <w:pStyle w:val="ListParagraph"/>
        <w:spacing w:before="120" w:after="120" w:line="276" w:lineRule="auto"/>
        <w:ind w:left="426" w:firstLine="708"/>
        <w:contextualSpacing w:val="0"/>
        <w:jc w:val="both"/>
        <w:rPr>
          <w:rFonts w:ascii="Garamond" w:hAnsi="Garamond"/>
          <w:sz w:val="24"/>
          <w:szCs w:val="24"/>
          <w:lang w:val="es-ES"/>
        </w:rPr>
      </w:pPr>
      <w:r w:rsidRPr="00F11C12">
        <w:rPr>
          <w:rFonts w:ascii="Garamond" w:hAnsi="Garamond"/>
          <w:sz w:val="24"/>
          <w:szCs w:val="24"/>
        </w:rPr>
        <w:t>Berdasarkan uraian dapat disimpulkan bahwa Perda Syari</w:t>
      </w:r>
      <w:r w:rsidR="00F11C12">
        <w:rPr>
          <w:rFonts w:ascii="Times New Roman" w:hAnsi="Times New Roman" w:cs="Times New Roman"/>
          <w:sz w:val="24"/>
          <w:szCs w:val="24"/>
          <w:lang w:val="id-ID"/>
        </w:rPr>
        <w:t>’</w:t>
      </w:r>
      <w:r w:rsidRPr="00F11C12">
        <w:rPr>
          <w:rFonts w:ascii="Garamond" w:hAnsi="Garamond"/>
          <w:sz w:val="24"/>
          <w:szCs w:val="24"/>
        </w:rPr>
        <w:t xml:space="preserve">ah muncul karena 4 faktor, yaitu: faktor </w:t>
      </w:r>
      <w:r w:rsidRPr="00F11C12">
        <w:rPr>
          <w:rFonts w:ascii="Garamond" w:hAnsi="Garamond"/>
          <w:i/>
          <w:iCs/>
          <w:sz w:val="24"/>
          <w:szCs w:val="24"/>
        </w:rPr>
        <w:t>historis, yuridis, sosiologis</w:t>
      </w:r>
      <w:r w:rsidRPr="00F11C12">
        <w:rPr>
          <w:rFonts w:ascii="Garamond" w:hAnsi="Garamond"/>
          <w:sz w:val="24"/>
          <w:szCs w:val="24"/>
        </w:rPr>
        <w:t xml:space="preserve"> dan </w:t>
      </w:r>
      <w:r w:rsidRPr="00F11C12">
        <w:rPr>
          <w:rFonts w:ascii="Garamond" w:hAnsi="Garamond"/>
          <w:i/>
          <w:iCs/>
          <w:sz w:val="24"/>
          <w:szCs w:val="24"/>
        </w:rPr>
        <w:t>politis.</w:t>
      </w:r>
      <w:r w:rsidRPr="00F11C12">
        <w:rPr>
          <w:rFonts w:ascii="Garamond" w:hAnsi="Garamond"/>
          <w:sz w:val="24"/>
          <w:szCs w:val="24"/>
        </w:rPr>
        <w:t xml:space="preserve"> </w:t>
      </w:r>
      <w:r w:rsidRPr="00D76965">
        <w:rPr>
          <w:rFonts w:ascii="Garamond" w:hAnsi="Garamond"/>
          <w:sz w:val="24"/>
          <w:szCs w:val="24"/>
          <w:lang w:val="es-ES"/>
        </w:rPr>
        <w:t xml:space="preserve">Dari segi </w:t>
      </w:r>
      <w:r w:rsidRPr="00B5024A">
        <w:rPr>
          <w:rFonts w:ascii="Garamond" w:hAnsi="Garamond"/>
          <w:i/>
          <w:iCs/>
          <w:sz w:val="24"/>
          <w:szCs w:val="24"/>
          <w:lang w:val="es-ES"/>
        </w:rPr>
        <w:t>historis</w:t>
      </w:r>
      <w:r w:rsidRPr="00D76965">
        <w:rPr>
          <w:rFonts w:ascii="Garamond" w:hAnsi="Garamond"/>
          <w:sz w:val="24"/>
          <w:szCs w:val="24"/>
          <w:lang w:val="es-ES"/>
        </w:rPr>
        <w:t>, Perda ini mucul terkait dengan sejarah penerapan Syari</w:t>
      </w:r>
      <w:r w:rsidR="00F11C12">
        <w:rPr>
          <w:rFonts w:ascii="Times New Roman" w:hAnsi="Times New Roman" w:cs="Times New Roman"/>
          <w:sz w:val="24"/>
          <w:szCs w:val="24"/>
          <w:lang w:val="id-ID"/>
        </w:rPr>
        <w:t>’</w:t>
      </w:r>
      <w:r w:rsidRPr="00D76965">
        <w:rPr>
          <w:rFonts w:ascii="Garamond" w:hAnsi="Garamond"/>
          <w:sz w:val="24"/>
          <w:szCs w:val="24"/>
          <w:lang w:val="es-ES"/>
        </w:rPr>
        <w:t>at Islam di Indonesia. Upaya untuk memberlakukan syari</w:t>
      </w:r>
      <w:r w:rsidR="00F11C12">
        <w:rPr>
          <w:rFonts w:ascii="Times New Roman" w:hAnsi="Times New Roman" w:cs="Times New Roman"/>
          <w:sz w:val="24"/>
          <w:szCs w:val="24"/>
          <w:lang w:val="id-ID"/>
        </w:rPr>
        <w:t>’</w:t>
      </w:r>
      <w:r w:rsidRPr="00D76965">
        <w:rPr>
          <w:rFonts w:ascii="Garamond" w:hAnsi="Garamond"/>
          <w:sz w:val="24"/>
          <w:szCs w:val="24"/>
          <w:lang w:val="es-ES"/>
        </w:rPr>
        <w:t>at Islam di Indonesia tidak pernah berhenti sejak Islam masuk ke Nusantara, hingga saat pemerintahan orde reformasi yang cukup kondusif, dengan memanfaatkan nuansa otonomi Daerah, maka lahirlah Perda</w:t>
      </w:r>
      <w:r w:rsidR="00B5024A">
        <w:rPr>
          <w:rFonts w:ascii="Garamond" w:hAnsi="Garamond"/>
          <w:sz w:val="24"/>
          <w:szCs w:val="24"/>
          <w:lang w:val="id-ID"/>
        </w:rPr>
        <w:t>-</w:t>
      </w:r>
      <w:r w:rsidRPr="00D76965">
        <w:rPr>
          <w:rFonts w:ascii="Garamond" w:hAnsi="Garamond"/>
          <w:sz w:val="24"/>
          <w:szCs w:val="24"/>
          <w:lang w:val="es-ES"/>
        </w:rPr>
        <w:t>Perda Syari</w:t>
      </w:r>
      <w:r w:rsidR="00F11C12">
        <w:rPr>
          <w:rFonts w:ascii="Times New Roman" w:hAnsi="Times New Roman" w:cs="Times New Roman"/>
          <w:sz w:val="24"/>
          <w:szCs w:val="24"/>
          <w:lang w:val="id-ID"/>
        </w:rPr>
        <w:t>’</w:t>
      </w:r>
      <w:r w:rsidRPr="00D76965">
        <w:rPr>
          <w:rFonts w:ascii="Garamond" w:hAnsi="Garamond"/>
          <w:sz w:val="24"/>
          <w:szCs w:val="24"/>
          <w:lang w:val="es-ES"/>
        </w:rPr>
        <w:t xml:space="preserve">ah tersebut. Dari segi </w:t>
      </w:r>
      <w:r w:rsidRPr="00B5024A">
        <w:rPr>
          <w:rFonts w:ascii="Garamond" w:hAnsi="Garamond"/>
          <w:i/>
          <w:iCs/>
          <w:sz w:val="24"/>
          <w:szCs w:val="24"/>
          <w:lang w:val="es-ES"/>
        </w:rPr>
        <w:t>yuridis</w:t>
      </w:r>
      <w:r w:rsidRPr="00D76965">
        <w:rPr>
          <w:rFonts w:ascii="Garamond" w:hAnsi="Garamond"/>
          <w:sz w:val="24"/>
          <w:szCs w:val="24"/>
          <w:lang w:val="es-ES"/>
        </w:rPr>
        <w:t xml:space="preserve">, Perda ini muncul seiring dengan diberlakukannya otonomi daerah yang merupakan amanat dari UUD NRI 1945 hasil amandemen dan diundangkannya UU No. 22 Tahun 1999 Tentang Pemerintahan Daerah yang kemudian digantikan oleh UU No. 32 Tahun 2004 Tentang Pemerintahan Daerah. </w:t>
      </w:r>
      <w:r w:rsidR="00A77602" w:rsidRPr="00A77602">
        <w:rPr>
          <w:lang w:val="es-ES"/>
        </w:rPr>
        <w:t xml:space="preserve"> </w:t>
      </w:r>
      <w:r w:rsidR="00A77602" w:rsidRPr="00F11C12">
        <w:rPr>
          <w:rFonts w:ascii="Garamond" w:hAnsi="Garamond"/>
          <w:sz w:val="24"/>
          <w:szCs w:val="24"/>
          <w:lang w:val="es-ES"/>
        </w:rPr>
        <w:t>Walaupun demikian, tidak terdapat definisi yang baku mengenai Perda Syariah dan penggunaan istilah ini menimbulkan bias.</w:t>
      </w:r>
    </w:p>
    <w:p w14:paraId="16615EC4" w14:textId="055D20E0" w:rsidR="00D76965" w:rsidRDefault="00D76965" w:rsidP="002F7A2A">
      <w:pPr>
        <w:pStyle w:val="ListParagraph"/>
        <w:spacing w:before="120" w:after="120" w:line="276" w:lineRule="auto"/>
        <w:ind w:left="426" w:firstLine="708"/>
        <w:contextualSpacing w:val="0"/>
        <w:jc w:val="both"/>
        <w:rPr>
          <w:rFonts w:ascii="Garamond" w:hAnsi="Garamond"/>
          <w:sz w:val="24"/>
          <w:szCs w:val="24"/>
          <w:lang w:val="es-ES"/>
        </w:rPr>
      </w:pPr>
      <w:r w:rsidRPr="00D76965">
        <w:rPr>
          <w:rFonts w:ascii="Garamond" w:hAnsi="Garamond"/>
          <w:sz w:val="24"/>
          <w:szCs w:val="24"/>
          <w:lang w:val="es-ES"/>
        </w:rPr>
        <w:lastRenderedPageBreak/>
        <w:t xml:space="preserve">Dari sisi </w:t>
      </w:r>
      <w:r w:rsidRPr="00B5024A">
        <w:rPr>
          <w:rFonts w:ascii="Garamond" w:hAnsi="Garamond"/>
          <w:i/>
          <w:iCs/>
          <w:sz w:val="24"/>
          <w:szCs w:val="24"/>
          <w:lang w:val="es-ES"/>
        </w:rPr>
        <w:t>sosiologis,</w:t>
      </w:r>
      <w:r w:rsidRPr="00D76965">
        <w:rPr>
          <w:rFonts w:ascii="Garamond" w:hAnsi="Garamond"/>
          <w:sz w:val="24"/>
          <w:szCs w:val="24"/>
          <w:lang w:val="es-ES"/>
        </w:rPr>
        <w:t xml:space="preserve"> Perda Syari</w:t>
      </w:r>
      <w:r w:rsidR="00D53B7E">
        <w:rPr>
          <w:rFonts w:ascii="Times New Roman" w:hAnsi="Times New Roman" w:cs="Times New Roman"/>
          <w:sz w:val="24"/>
          <w:szCs w:val="24"/>
          <w:lang w:val="id-ID"/>
        </w:rPr>
        <w:t>’</w:t>
      </w:r>
      <w:r w:rsidRPr="00D76965">
        <w:rPr>
          <w:rFonts w:ascii="Garamond" w:hAnsi="Garamond"/>
          <w:sz w:val="24"/>
          <w:szCs w:val="24"/>
          <w:lang w:val="es-ES"/>
        </w:rPr>
        <w:t xml:space="preserve">ah ini muncul karena adanya </w:t>
      </w:r>
      <w:r w:rsidRPr="00B5024A">
        <w:rPr>
          <w:rFonts w:ascii="Garamond" w:hAnsi="Garamond"/>
          <w:i/>
          <w:iCs/>
          <w:sz w:val="24"/>
          <w:szCs w:val="24"/>
          <w:lang w:val="es-ES"/>
        </w:rPr>
        <w:t>political will</w:t>
      </w:r>
      <w:r w:rsidRPr="00D76965">
        <w:rPr>
          <w:rFonts w:ascii="Garamond" w:hAnsi="Garamond"/>
          <w:sz w:val="24"/>
          <w:szCs w:val="24"/>
          <w:lang w:val="es-ES"/>
        </w:rPr>
        <w:t xml:space="preserve"> pemerintah bersama masyarakat. Sedangkan dari sisi </w:t>
      </w:r>
      <w:r w:rsidRPr="00B5024A">
        <w:rPr>
          <w:rFonts w:ascii="Garamond" w:hAnsi="Garamond"/>
          <w:i/>
          <w:iCs/>
          <w:sz w:val="24"/>
          <w:szCs w:val="24"/>
          <w:lang w:val="es-ES"/>
        </w:rPr>
        <w:t>politis,</w:t>
      </w:r>
      <w:r w:rsidRPr="00D76965">
        <w:rPr>
          <w:rFonts w:ascii="Garamond" w:hAnsi="Garamond"/>
          <w:sz w:val="24"/>
          <w:szCs w:val="24"/>
          <w:lang w:val="es-ES"/>
        </w:rPr>
        <w:t xml:space="preserve"> diundangkannya Perda Syari</w:t>
      </w:r>
      <w:r w:rsidR="00F11C12">
        <w:rPr>
          <w:rFonts w:ascii="Times New Roman" w:hAnsi="Times New Roman" w:cs="Times New Roman"/>
          <w:sz w:val="24"/>
          <w:szCs w:val="24"/>
          <w:lang w:val="id-ID"/>
        </w:rPr>
        <w:t>’</w:t>
      </w:r>
      <w:r w:rsidRPr="00D76965">
        <w:rPr>
          <w:rFonts w:ascii="Garamond" w:hAnsi="Garamond"/>
          <w:sz w:val="24"/>
          <w:szCs w:val="24"/>
          <w:lang w:val="es-ES"/>
        </w:rPr>
        <w:t>ah oleh sejumlah Provinsi dan Kabupaten/Kota merupakan kepentingan politik jangka pendek elit politik untuk melanggengkan kekuasannya di masing-masing wilayah tersebut.</w:t>
      </w:r>
    </w:p>
    <w:p w14:paraId="2755AAAE" w14:textId="7401A2E4" w:rsidR="00D76965" w:rsidRPr="00B5024A" w:rsidRDefault="00D76965" w:rsidP="002F7A2A">
      <w:pPr>
        <w:pStyle w:val="ListParagraph"/>
        <w:spacing w:before="120" w:after="120" w:line="276" w:lineRule="auto"/>
        <w:ind w:left="426" w:firstLine="708"/>
        <w:contextualSpacing w:val="0"/>
        <w:jc w:val="both"/>
        <w:rPr>
          <w:rFonts w:ascii="Garamond" w:hAnsi="Garamond"/>
          <w:sz w:val="24"/>
          <w:szCs w:val="24"/>
          <w:lang w:val="es-ES"/>
        </w:rPr>
      </w:pPr>
      <w:r w:rsidRPr="00B5024A">
        <w:rPr>
          <w:rFonts w:ascii="Garamond" w:hAnsi="Garamond"/>
          <w:sz w:val="24"/>
          <w:szCs w:val="24"/>
          <w:lang w:val="es-ES"/>
        </w:rPr>
        <w:t>Terpenting dalam hal ini bukanlah formalisasi penerapan hukum Islam atau pendekatan normatif ideologis. Yang lebih penting dari itu semua adalah penyerapan nilai</w:t>
      </w:r>
      <w:r w:rsidR="00B5024A">
        <w:rPr>
          <w:rFonts w:ascii="Garamond" w:hAnsi="Garamond"/>
          <w:sz w:val="24"/>
          <w:szCs w:val="24"/>
          <w:lang w:val="id-ID"/>
        </w:rPr>
        <w:t>-</w:t>
      </w:r>
      <w:r w:rsidRPr="00B5024A">
        <w:rPr>
          <w:rFonts w:ascii="Garamond" w:hAnsi="Garamond"/>
          <w:sz w:val="24"/>
          <w:szCs w:val="24"/>
          <w:lang w:val="es-ES"/>
        </w:rPr>
        <w:t>nilai hukum Islam ke dalam masyarakat. Ada a</w:t>
      </w:r>
      <w:r w:rsidR="00B5024A">
        <w:rPr>
          <w:rFonts w:ascii="Garamond" w:hAnsi="Garamond"/>
          <w:sz w:val="24"/>
          <w:szCs w:val="24"/>
          <w:lang w:val="id-ID"/>
        </w:rPr>
        <w:t>tau</w:t>
      </w:r>
      <w:r w:rsidRPr="00B5024A">
        <w:rPr>
          <w:rFonts w:ascii="Garamond" w:hAnsi="Garamond"/>
          <w:sz w:val="24"/>
          <w:szCs w:val="24"/>
          <w:lang w:val="es-ES"/>
        </w:rPr>
        <w:t xml:space="preserve"> yang sangat urge</w:t>
      </w:r>
      <w:r w:rsidR="00B5024A">
        <w:rPr>
          <w:rFonts w:ascii="Garamond" w:hAnsi="Garamond"/>
          <w:sz w:val="24"/>
          <w:szCs w:val="24"/>
          <w:lang w:val="id-ID"/>
        </w:rPr>
        <w:t>n.</w:t>
      </w:r>
      <w:r w:rsidRPr="00B5024A">
        <w:rPr>
          <w:rFonts w:ascii="Garamond" w:hAnsi="Garamond"/>
          <w:sz w:val="24"/>
          <w:szCs w:val="24"/>
          <w:lang w:val="es-ES"/>
        </w:rPr>
        <w:t xml:space="preserve"> Jauh dari itu, syari</w:t>
      </w:r>
      <w:r w:rsidR="00F11C12">
        <w:rPr>
          <w:rFonts w:ascii="Times New Roman" w:hAnsi="Times New Roman" w:cs="Times New Roman"/>
          <w:sz w:val="24"/>
          <w:szCs w:val="24"/>
          <w:lang w:val="id-ID"/>
        </w:rPr>
        <w:t>’</w:t>
      </w:r>
      <w:r w:rsidRPr="00B5024A">
        <w:rPr>
          <w:rFonts w:ascii="Garamond" w:hAnsi="Garamond"/>
          <w:sz w:val="24"/>
          <w:szCs w:val="24"/>
          <w:lang w:val="es-ES"/>
        </w:rPr>
        <w:t>at Islam tetap akan tegak dan tumbuh bersemi dengan subur karena sampai kapanpun bagi umat Islam, syari</w:t>
      </w:r>
      <w:r w:rsidR="00F11C12">
        <w:rPr>
          <w:rFonts w:ascii="Times New Roman" w:hAnsi="Times New Roman" w:cs="Times New Roman"/>
          <w:sz w:val="24"/>
          <w:szCs w:val="24"/>
          <w:lang w:val="id-ID"/>
        </w:rPr>
        <w:t>’</w:t>
      </w:r>
      <w:r w:rsidRPr="00B5024A">
        <w:rPr>
          <w:rFonts w:ascii="Garamond" w:hAnsi="Garamond"/>
          <w:sz w:val="24"/>
          <w:szCs w:val="24"/>
          <w:lang w:val="es-ES"/>
        </w:rPr>
        <w:t>at Islam merupakan jalan hidup dan berlaku bagi seluruh umat Islam terlepas dari ada atau tidaknya negara. Harus terus dilakukan sosialisasi bahwa syari</w:t>
      </w:r>
      <w:r w:rsidR="00B5024A">
        <w:rPr>
          <w:rFonts w:ascii="Times New Roman" w:hAnsi="Times New Roman" w:cs="Times New Roman"/>
          <w:sz w:val="24"/>
          <w:szCs w:val="24"/>
          <w:lang w:val="id-ID"/>
        </w:rPr>
        <w:t>’</w:t>
      </w:r>
      <w:r w:rsidRPr="00B5024A">
        <w:rPr>
          <w:rFonts w:ascii="Garamond" w:hAnsi="Garamond"/>
          <w:sz w:val="24"/>
          <w:szCs w:val="24"/>
          <w:lang w:val="es-ES"/>
        </w:rPr>
        <w:t>at Islam bukan hanya sebatas pada penampakan simbol-simbol agama di area publik seperti pemakaian jilbab atau memakai busana muslim. Namun sebenarnya harus mencakup aturan tentang antikorupsi,</w:t>
      </w:r>
      <w:r w:rsidR="00B5024A">
        <w:rPr>
          <w:rFonts w:ascii="Garamond" w:hAnsi="Garamond"/>
          <w:sz w:val="24"/>
          <w:szCs w:val="24"/>
          <w:lang w:val="id-ID"/>
        </w:rPr>
        <w:t xml:space="preserve"> </w:t>
      </w:r>
      <w:r w:rsidRPr="00B5024A">
        <w:rPr>
          <w:rFonts w:ascii="Garamond" w:hAnsi="Garamond"/>
          <w:sz w:val="24"/>
          <w:szCs w:val="24"/>
          <w:lang w:val="es-ES"/>
        </w:rPr>
        <w:t>kesejahteraan masyarakat, pelestarian lingkungan, perlindungan HAM, serta masalah-masalah yang lebih konkrit dan realistis dalam bermasyarakat, berbangsa dan bernegara</w:t>
      </w:r>
    </w:p>
    <w:p w14:paraId="7343332E" w14:textId="3187380A" w:rsidR="00261CDB" w:rsidRPr="00F67792" w:rsidRDefault="00D76965" w:rsidP="002F7A2A">
      <w:pPr>
        <w:pStyle w:val="ListParagraph"/>
        <w:spacing w:before="120" w:after="120" w:line="276" w:lineRule="auto"/>
        <w:ind w:left="426" w:firstLine="708"/>
        <w:contextualSpacing w:val="0"/>
        <w:jc w:val="both"/>
        <w:rPr>
          <w:rFonts w:ascii="Garamond" w:hAnsi="Garamond" w:cs="Calibri"/>
          <w:b/>
          <w:bCs/>
          <w:sz w:val="24"/>
          <w:szCs w:val="24"/>
          <w:lang w:val="es-ES"/>
        </w:rPr>
      </w:pPr>
      <w:r w:rsidRPr="00B5024A">
        <w:rPr>
          <w:rFonts w:ascii="Garamond" w:hAnsi="Garamond"/>
          <w:sz w:val="24"/>
          <w:szCs w:val="24"/>
          <w:lang w:val="es-ES"/>
        </w:rPr>
        <w:t>Hendaknya</w:t>
      </w:r>
      <w:r w:rsidR="00B5024A">
        <w:rPr>
          <w:rFonts w:ascii="Garamond" w:hAnsi="Garamond"/>
          <w:sz w:val="24"/>
          <w:szCs w:val="24"/>
          <w:lang w:val="id-ID"/>
        </w:rPr>
        <w:t xml:space="preserve"> </w:t>
      </w:r>
      <w:r w:rsidRPr="00B5024A">
        <w:rPr>
          <w:rFonts w:ascii="Garamond" w:hAnsi="Garamond"/>
          <w:sz w:val="24"/>
          <w:szCs w:val="24"/>
          <w:lang w:val="es-ES"/>
        </w:rPr>
        <w:t>pemberlakuan syariat Islam di daerah-daerah harus memperhatikan ketentuan-ketentuan yang berlaku dalam sistem ketatanegaraan Indonesia.</w:t>
      </w:r>
      <w:r w:rsidR="00B5024A">
        <w:rPr>
          <w:rFonts w:ascii="Garamond" w:hAnsi="Garamond"/>
          <w:sz w:val="24"/>
          <w:szCs w:val="24"/>
          <w:lang w:val="id-ID"/>
        </w:rPr>
        <w:t xml:space="preserve"> </w:t>
      </w:r>
      <w:r w:rsidRPr="00B5024A">
        <w:rPr>
          <w:rFonts w:ascii="Garamond" w:hAnsi="Garamond"/>
          <w:sz w:val="24"/>
          <w:szCs w:val="24"/>
          <w:lang w:val="id-ID"/>
        </w:rPr>
        <w:t>Bahwa era desentralisasi/otonomi daerah telah menjamin dan mengakui adanya pluralisme hukum nasional, sehingga sangat mungkin tradisi-tradi</w:t>
      </w:r>
      <w:r w:rsidR="00E20579">
        <w:rPr>
          <w:rFonts w:ascii="Garamond" w:hAnsi="Garamond"/>
          <w:sz w:val="24"/>
          <w:szCs w:val="24"/>
          <w:lang w:val="id-ID"/>
        </w:rPr>
        <w:t>s</w:t>
      </w:r>
      <w:r w:rsidRPr="00B5024A">
        <w:rPr>
          <w:rFonts w:ascii="Garamond" w:hAnsi="Garamond"/>
          <w:sz w:val="24"/>
          <w:szCs w:val="24"/>
          <w:lang w:val="id-ID"/>
        </w:rPr>
        <w:t xml:space="preserve">i hukum yang selama ini hidup dan berkembang bisa diangkat menjadi materi-materi dalam berbagai peraturan daerah, namun harus tetap mengacu kepada peraturan-peraturan yang lebih tinggi tingkatannya. </w:t>
      </w:r>
      <w:r w:rsidRPr="00D76965">
        <w:rPr>
          <w:rFonts w:ascii="Garamond" w:hAnsi="Garamond"/>
          <w:sz w:val="24"/>
          <w:szCs w:val="24"/>
          <w:lang w:val="es-ES"/>
        </w:rPr>
        <w:t>Dengan demikian terhindar dari adanya konflik sehingga dapat berlaku secara efektif dan efisien</w:t>
      </w:r>
      <w:bookmarkStart w:id="0" w:name="_GoBack"/>
      <w:bookmarkEnd w:id="0"/>
    </w:p>
    <w:p w14:paraId="1C0EB057" w14:textId="7E83E7FA" w:rsidR="009254B3" w:rsidRPr="009564A5" w:rsidRDefault="000D2F9B" w:rsidP="002F7A2A">
      <w:pPr>
        <w:pStyle w:val="ListParagraph"/>
        <w:numPr>
          <w:ilvl w:val="0"/>
          <w:numId w:val="1"/>
        </w:numPr>
        <w:spacing w:before="120" w:after="120" w:line="276" w:lineRule="auto"/>
        <w:ind w:left="426" w:hanging="426"/>
        <w:contextualSpacing w:val="0"/>
        <w:rPr>
          <w:rFonts w:ascii="Garamond" w:hAnsi="Garamond" w:cs="Calibri"/>
          <w:b/>
          <w:bCs/>
          <w:sz w:val="24"/>
          <w:szCs w:val="24"/>
        </w:rPr>
      </w:pPr>
      <w:r w:rsidRPr="00B660CC">
        <w:rPr>
          <w:rFonts w:ascii="Garamond" w:hAnsi="Garamond" w:cs="Calibri"/>
          <w:b/>
          <w:bCs/>
          <w:sz w:val="24"/>
          <w:szCs w:val="24"/>
          <w:lang w:val="id-ID"/>
        </w:rPr>
        <w:t>Daftar Kepustakaan</w:t>
      </w:r>
    </w:p>
    <w:p w14:paraId="050EC5CD"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Abdurrahman, Dan Wahidin, Syamsul .1984. Perkembangan Ringkas Hukum Islam di Indonesia. Jakarta: Akademi Pressindo.</w:t>
      </w:r>
    </w:p>
    <w:p w14:paraId="22C6F7A1"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 xml:space="preserve"> Anwar, M Syafei. 1995. Pemikiran dan Aksi Islam Indonesia: Sebuah Kajian tentang Cendekiawan Muslim Orde Baru, Jakarta: Paramadina.</w:t>
      </w:r>
    </w:p>
    <w:p w14:paraId="4616B122"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Asshiddiqie, Jimly. 2010. Konstitusi dan Konstitusionalisme Indonesia. Jakarta: Sinar Grafika.</w:t>
      </w:r>
    </w:p>
    <w:p w14:paraId="6F96306D"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Azhari, M Tahir. 1992. Negara Hukum Suatu Studi tentang Prinsip-prinsipnya dilihat dari Segi Hukum Islam, Implementasinya pada Periode Negara Madinah dan Masa Kini, Jakarta: Bulan Bintang.</w:t>
      </w:r>
    </w:p>
    <w:p w14:paraId="6FCCC5F2"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 xml:space="preserve"> Azizy, A Qodri . 2002. Eklektisisme Hukum Nasional Kompetisi antara Hukum Islam dan Hukum Umum. Yogyakarta: Gama Media.</w:t>
      </w:r>
    </w:p>
    <w:p w14:paraId="1DD2DAF7"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Dani, Muhtada. Perda Syariah di Indonesia: Penyebaran, Problem, dan Tantangannya, Disampaikan dalam orasi ilmiah dalam rangka Dies Natalis VII Fakultas Hukum Universitas Negeri Semarang pada tanggal 4 Desember 2014 di Semarang</w:t>
      </w:r>
    </w:p>
    <w:p w14:paraId="3D26E78F"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Effendy, Bachtiar. 1998. Islam dan Negara; Transformasi Pemikiran dan Praktik Politik Islam di Indonesia, Jakarta: Paramadina.</w:t>
      </w:r>
    </w:p>
    <w:p w14:paraId="188E2AC6"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 xml:space="preserve"> Ghofur, Abdul. 2002. Demokratisasi dan Prospek Hukum Islam di Indonesia Studi Atas Pemikiran Gus Dur.Yogyakarta: Kerjasama Walisongo Press dengan Pustaka Pelajar.</w:t>
      </w:r>
    </w:p>
    <w:p w14:paraId="210BAEE5"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lastRenderedPageBreak/>
        <w:t>Hanum,Colida,”Perda Syariah Perspektif Ketatanegaraan Dan Siyasah Dusturiyah”,(jurnal ilmu syariah dan hukum) Vol. 4, Nomor 2, 2019</w:t>
      </w:r>
    </w:p>
    <w:p w14:paraId="58414D2C"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Huda, Ni’matul. 2014. Perkembangan Hukum Tata Negara: Perdebatan dan Gagasan Penyempurnaan, Yogyakarta: FH UII Press.</w:t>
      </w:r>
    </w:p>
    <w:p w14:paraId="5C3A83D9"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 xml:space="preserve">International Crisis Group: “Islamic Law and Criminal Justice in Aceh” Asia Report Number 117 31 July 2006. </w:t>
      </w:r>
    </w:p>
    <w:p w14:paraId="4BE10721"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Madjid,Nurcholis, et.al. 1998. Menyegerakan Paham Keagamaan di Kalangan Umat Islam di Indonesia dalam Islam, Kemoderenan dan Keindonesiaan, Cetakan Kesebelas Bandung: Mizan.</w:t>
      </w:r>
    </w:p>
    <w:p w14:paraId="12DB5B07"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Meuwisse. 2007. Pengembangan Hukum, Ilmu Hukum, Teori Hukum, dan Filsafat Hukum, terj. Meuwissen .Bandung: Refika Aditama.</w:t>
      </w:r>
    </w:p>
    <w:p w14:paraId="043FCD73"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Muhammad, Hussein. 2000. Islam dan Negara Kebanggaan; Tinjauan Politik, dalam Ahmad Suaedy, Pergulatan Pesantren dan Demokrasi. Yogyakarta; LKIS.</w:t>
      </w:r>
    </w:p>
    <w:p w14:paraId="1EB96735"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Na’imah, Hayatun,” Perda Berbasis Syariah Dan Hubungan Negara-Agama Dalam Perspektif Pancasila” Mazahib,Vol XV, No. 2 (Desember 2016)</w:t>
      </w:r>
    </w:p>
    <w:p w14:paraId="49B91918" w14:textId="77777777" w:rsidR="00252F8D" w:rsidRPr="001F5200" w:rsidRDefault="00252F8D" w:rsidP="002F7A2A">
      <w:pPr>
        <w:pStyle w:val="FootnoteText"/>
        <w:spacing w:before="240"/>
        <w:ind w:left="1077" w:hanging="651"/>
        <w:jc w:val="both"/>
        <w:rPr>
          <w:rFonts w:ascii="Garamond" w:hAnsi="Garamond"/>
          <w:sz w:val="24"/>
          <w:szCs w:val="24"/>
        </w:rPr>
      </w:pPr>
      <w:r w:rsidRPr="001F5200">
        <w:rPr>
          <w:rFonts w:ascii="Garamond" w:hAnsi="Garamond"/>
          <w:sz w:val="24"/>
          <w:szCs w:val="24"/>
        </w:rPr>
        <w:t xml:space="preserve">Reinchaart, and Winston, Holt, Fazlur Rahman . (New York; Chichago, San Fransisco,1966) </w:t>
      </w:r>
    </w:p>
    <w:p w14:paraId="5D049A70" w14:textId="77777777" w:rsidR="00252F8D" w:rsidRPr="001F5200" w:rsidRDefault="00252F8D" w:rsidP="002F7A2A">
      <w:pPr>
        <w:pStyle w:val="FootnoteText"/>
        <w:spacing w:before="240"/>
        <w:ind w:hanging="651"/>
        <w:jc w:val="both"/>
        <w:rPr>
          <w:rFonts w:ascii="Garamond" w:hAnsi="Garamond"/>
          <w:sz w:val="24"/>
          <w:szCs w:val="24"/>
        </w:rPr>
      </w:pPr>
      <w:r w:rsidRPr="001F5200">
        <w:rPr>
          <w:rFonts w:ascii="Garamond" w:hAnsi="Garamond"/>
          <w:sz w:val="24"/>
          <w:szCs w:val="24"/>
        </w:rPr>
        <w:t xml:space="preserve"> Suntana, Ija. 2014. “Poitik Hukum Islam”. Bandung: CV Pustaka Setia. </w:t>
      </w:r>
    </w:p>
    <w:sectPr w:rsidR="00252F8D" w:rsidRPr="001F5200" w:rsidSect="000D0454">
      <w:footerReference w:type="default" r:id="rId12"/>
      <w:endnotePr>
        <w:numFmt w:val="decimal"/>
      </w:endnotePr>
      <w:pgSz w:w="11906" w:h="16838"/>
      <w:pgMar w:top="1134" w:right="1134" w:bottom="1134" w:left="1134" w:header="709" w:footer="709" w:gutter="0"/>
      <w:pgNumType w:start="1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103B4" w14:textId="77777777" w:rsidR="007127AA" w:rsidRDefault="007127AA" w:rsidP="00086F5C">
      <w:pPr>
        <w:spacing w:after="0" w:line="240" w:lineRule="auto"/>
      </w:pPr>
      <w:r>
        <w:separator/>
      </w:r>
    </w:p>
  </w:endnote>
  <w:endnote w:type="continuationSeparator" w:id="0">
    <w:p w14:paraId="422FD04C" w14:textId="77777777" w:rsidR="007127AA" w:rsidRDefault="007127AA" w:rsidP="0008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373796"/>
      <w:docPartObj>
        <w:docPartGallery w:val="Page Numbers (Bottom of Page)"/>
        <w:docPartUnique/>
      </w:docPartObj>
    </w:sdtPr>
    <w:sdtEndPr>
      <w:rPr>
        <w:noProof/>
      </w:rPr>
    </w:sdtEndPr>
    <w:sdtContent>
      <w:p w14:paraId="08BB4FD8" w14:textId="67B85969" w:rsidR="00D12FED" w:rsidRDefault="00D12FED">
        <w:pPr>
          <w:pStyle w:val="Footer"/>
          <w:jc w:val="right"/>
        </w:pPr>
        <w:r>
          <w:rPr>
            <w:noProof/>
            <w:lang w:val="en-US"/>
          </w:rPr>
          <w:drawing>
            <wp:anchor distT="0" distB="0" distL="114300" distR="114300" simplePos="0" relativeHeight="251659264" behindDoc="0" locked="0" layoutInCell="1" allowOverlap="1" wp14:anchorId="25422530" wp14:editId="51F926B4">
              <wp:simplePos x="0" y="0"/>
              <wp:positionH relativeFrom="column">
                <wp:posOffset>51557</wp:posOffset>
              </wp:positionH>
              <wp:positionV relativeFrom="paragraph">
                <wp:posOffset>85184</wp:posOffset>
              </wp:positionV>
              <wp:extent cx="1072515" cy="441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515" cy="44196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32115C">
          <w:rPr>
            <w:noProof/>
          </w:rPr>
          <w:t>176</w:t>
        </w:r>
        <w:r>
          <w:rPr>
            <w:noProof/>
          </w:rPr>
          <w:fldChar w:fldCharType="end"/>
        </w:r>
      </w:p>
    </w:sdtContent>
  </w:sdt>
  <w:p w14:paraId="2D1022A8" w14:textId="77777777" w:rsidR="00086F5C" w:rsidRDefault="00086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5B1B0" w14:textId="77777777" w:rsidR="007127AA" w:rsidRDefault="007127AA" w:rsidP="00086F5C">
      <w:pPr>
        <w:spacing w:after="0" w:line="240" w:lineRule="auto"/>
      </w:pPr>
      <w:r>
        <w:separator/>
      </w:r>
    </w:p>
  </w:footnote>
  <w:footnote w:type="continuationSeparator" w:id="0">
    <w:p w14:paraId="0EA19EB3" w14:textId="77777777" w:rsidR="007127AA" w:rsidRDefault="007127AA" w:rsidP="00086F5C">
      <w:pPr>
        <w:spacing w:after="0" w:line="240" w:lineRule="auto"/>
      </w:pPr>
      <w:r>
        <w:continuationSeparator/>
      </w:r>
    </w:p>
  </w:footnote>
  <w:footnote w:id="1">
    <w:p w14:paraId="0D202B14" w14:textId="654D3B31" w:rsidR="00673596" w:rsidRPr="00673596" w:rsidRDefault="00673596" w:rsidP="00D12FED">
      <w:pPr>
        <w:pStyle w:val="FootnoteText"/>
        <w:rPr>
          <w:rFonts w:ascii="Garamond" w:hAnsi="Garamond"/>
        </w:rPr>
      </w:pPr>
      <w:r w:rsidRPr="00673596">
        <w:rPr>
          <w:rStyle w:val="FootnoteReference"/>
          <w:rFonts w:ascii="Garamond" w:hAnsi="Garamond"/>
        </w:rPr>
        <w:footnoteRef/>
      </w:r>
      <w:r w:rsidRPr="00673596">
        <w:rPr>
          <w:rFonts w:ascii="Garamond" w:hAnsi="Garamond"/>
        </w:rPr>
        <w:t xml:space="preserve"> Jimly Asshiddiqie, Konstitusi dan Konstitusionalisme Indonesia (Jakarta: Sinar Grafika, 2010), hlm. 52</w:t>
      </w:r>
    </w:p>
  </w:footnote>
  <w:footnote w:id="2">
    <w:p w14:paraId="76CC10C7" w14:textId="62FD734A" w:rsidR="00673596" w:rsidRPr="00673596" w:rsidRDefault="00673596" w:rsidP="00D12FED">
      <w:pPr>
        <w:pStyle w:val="FootnoteText"/>
        <w:rPr>
          <w:rFonts w:ascii="Garamond" w:hAnsi="Garamond"/>
        </w:rPr>
      </w:pPr>
      <w:r w:rsidRPr="00673596">
        <w:rPr>
          <w:rStyle w:val="FootnoteReference"/>
          <w:rFonts w:ascii="Garamond" w:hAnsi="Garamond"/>
        </w:rPr>
        <w:footnoteRef/>
      </w:r>
      <w:r w:rsidRPr="00673596">
        <w:rPr>
          <w:rFonts w:ascii="Garamond" w:hAnsi="Garamond"/>
        </w:rPr>
        <w:t xml:space="preserve"> Penjelasan Undang-Undang No 23 Tahun 2014 Tentang Pemerintahan Daerah</w:t>
      </w:r>
    </w:p>
  </w:footnote>
  <w:footnote w:id="3">
    <w:p w14:paraId="21187C1F" w14:textId="2BEC491F" w:rsidR="00673596" w:rsidRPr="00673596" w:rsidRDefault="00673596" w:rsidP="00D12FED">
      <w:pPr>
        <w:pStyle w:val="FootnoteText"/>
        <w:rPr>
          <w:rFonts w:ascii="Garamond" w:hAnsi="Garamond"/>
        </w:rPr>
      </w:pPr>
      <w:r w:rsidRPr="00673596">
        <w:rPr>
          <w:rStyle w:val="FootnoteReference"/>
          <w:rFonts w:ascii="Garamond" w:hAnsi="Garamond"/>
        </w:rPr>
        <w:footnoteRef/>
      </w:r>
      <w:r w:rsidRPr="00673596">
        <w:rPr>
          <w:rFonts w:ascii="Garamond" w:hAnsi="Garamond"/>
        </w:rPr>
        <w:t xml:space="preserve">  Ija Suntana, Poitik Hukum Islam, (Bandung: CV Pustaka Setia, 2014), hlm. 389</w:t>
      </w:r>
    </w:p>
  </w:footnote>
  <w:footnote w:id="4">
    <w:p w14:paraId="0C6998BD" w14:textId="177058EC" w:rsidR="00673596" w:rsidRPr="00673596" w:rsidRDefault="00673596" w:rsidP="00D12FED">
      <w:pPr>
        <w:pStyle w:val="FootnoteText"/>
        <w:rPr>
          <w:rFonts w:ascii="Garamond" w:hAnsi="Garamond"/>
        </w:rPr>
      </w:pPr>
      <w:r>
        <w:rPr>
          <w:rStyle w:val="FootnoteReference"/>
        </w:rPr>
        <w:footnoteRef/>
      </w:r>
      <w:r>
        <w:t xml:space="preserve"> </w:t>
      </w:r>
      <w:r w:rsidRPr="00673596">
        <w:rPr>
          <w:rFonts w:ascii="Garamond" w:hAnsi="Garamond"/>
        </w:rPr>
        <w:t>Meuwissen, Pengembangan Hukum, Ilmu Hukum, Teori Hukum, dan Filsafat Hukum, terj. Meuwissen (Bandung: Refika Aditama, 2007) hlm. 46-47</w:t>
      </w:r>
    </w:p>
  </w:footnote>
  <w:footnote w:id="5">
    <w:p w14:paraId="6BBAD5B5" w14:textId="418853B4" w:rsidR="00673596" w:rsidRPr="00DD7764" w:rsidRDefault="00DF1D56" w:rsidP="00D12FED">
      <w:pPr>
        <w:pStyle w:val="FootnoteText"/>
        <w:rPr>
          <w:rFonts w:ascii="Garamond" w:hAnsi="Garamond"/>
        </w:rPr>
      </w:pPr>
      <w:r>
        <w:rPr>
          <w:rFonts w:ascii="Garamond" w:hAnsi="Garamond"/>
          <w:vertAlign w:val="superscript"/>
        </w:rPr>
        <w:t>5</w:t>
      </w:r>
      <w:r w:rsidR="00DD7764" w:rsidRPr="00DD7764">
        <w:rPr>
          <w:rFonts w:ascii="Garamond" w:hAnsi="Garamond"/>
        </w:rPr>
        <w:t>International Crisis Group: “Islamic Law and Criminal Justice in Aceh” Asia Report Number 117 31 July 2006. hlm. 8-10.</w:t>
      </w:r>
    </w:p>
  </w:footnote>
  <w:footnote w:id="6">
    <w:p w14:paraId="6E4D220C" w14:textId="4AA8893A" w:rsidR="00DD7764" w:rsidRPr="002E785E" w:rsidRDefault="00DD7764" w:rsidP="00D12FED">
      <w:pPr>
        <w:pStyle w:val="FootnoteText"/>
        <w:rPr>
          <w:rFonts w:ascii="Garamond" w:hAnsi="Garamond"/>
        </w:rPr>
      </w:pPr>
      <w:r w:rsidRPr="002E785E">
        <w:rPr>
          <w:rStyle w:val="FootnoteReference"/>
          <w:rFonts w:ascii="Garamond" w:hAnsi="Garamond"/>
        </w:rPr>
        <w:footnoteRef/>
      </w:r>
      <w:r w:rsidRPr="002E785E">
        <w:rPr>
          <w:rFonts w:ascii="Garamond" w:hAnsi="Garamond"/>
        </w:rPr>
        <w:t xml:space="preserve"> Colida hanum,</w:t>
      </w:r>
      <w:r w:rsidR="002E785E" w:rsidRPr="002E785E">
        <w:rPr>
          <w:rFonts w:ascii="Garamond" w:hAnsi="Garamond"/>
        </w:rPr>
        <w:t>”perda syariah perspektif ketatanegaraan dan siyasah dusturiyah”,</w:t>
      </w:r>
      <w:r w:rsidR="001B18DB">
        <w:rPr>
          <w:rFonts w:ascii="Garamond" w:hAnsi="Garamond"/>
        </w:rPr>
        <w:t>(jurnal ilmu syari’ah dan hukum)</w:t>
      </w:r>
      <w:r w:rsidR="002E785E" w:rsidRPr="002E785E">
        <w:rPr>
          <w:rFonts w:ascii="Garamond" w:hAnsi="Garamond"/>
        </w:rPr>
        <w:t xml:space="preserve"> Vol. 4, Nomor 2, 2019</w:t>
      </w:r>
      <w:r w:rsidR="002E785E">
        <w:rPr>
          <w:rFonts w:ascii="Garamond" w:hAnsi="Garamond"/>
        </w:rPr>
        <w:t>,hlm120</w:t>
      </w:r>
    </w:p>
  </w:footnote>
  <w:footnote w:id="7">
    <w:p w14:paraId="67D5D32E" w14:textId="6361C667" w:rsidR="002E785E" w:rsidRPr="002E785E" w:rsidRDefault="001F5200" w:rsidP="00D12FED">
      <w:pPr>
        <w:pStyle w:val="FootnoteText"/>
        <w:rPr>
          <w:rFonts w:ascii="Garamond" w:hAnsi="Garamond"/>
        </w:rPr>
      </w:pPr>
      <w:r w:rsidRPr="001F5200">
        <w:rPr>
          <w:rFonts w:ascii="Garamond" w:hAnsi="Garamond"/>
        </w:rPr>
        <w:t>7</w:t>
      </w:r>
      <w:r w:rsidR="002E785E" w:rsidRPr="001F5200">
        <w:rPr>
          <w:rFonts w:ascii="Garamond" w:hAnsi="Garamond"/>
        </w:rPr>
        <w:t>Abdul</w:t>
      </w:r>
      <w:r w:rsidR="002E785E" w:rsidRPr="002E785E">
        <w:rPr>
          <w:rFonts w:ascii="Garamond" w:hAnsi="Garamond"/>
        </w:rPr>
        <w:t xml:space="preserve"> Ghofur, Demokratisa</w:t>
      </w:r>
      <w:r>
        <w:rPr>
          <w:rFonts w:ascii="Garamond" w:hAnsi="Garamond"/>
        </w:rPr>
        <w:t>si</w:t>
      </w:r>
      <w:r w:rsidR="002E785E" w:rsidRPr="002E785E">
        <w:rPr>
          <w:rFonts w:ascii="Garamond" w:hAnsi="Garamond"/>
        </w:rPr>
        <w:t xml:space="preserve"> dan Prospek Hukum Islam di Indonesia Studi Atas Pemikiran Gus Dur (Yogyakarta: Kerjasama Walisongo Press dengan Pustaka Pelajar, 2002), hlm. v</w:t>
      </w:r>
    </w:p>
  </w:footnote>
  <w:footnote w:id="8">
    <w:p w14:paraId="0645910F" w14:textId="0320B58F" w:rsidR="002E785E" w:rsidRPr="0069014F" w:rsidRDefault="002E785E" w:rsidP="00D12FED">
      <w:pPr>
        <w:pStyle w:val="FootnoteText"/>
        <w:rPr>
          <w:rFonts w:ascii="Garamond" w:hAnsi="Garamond"/>
        </w:rPr>
      </w:pPr>
      <w:r w:rsidRPr="0069014F">
        <w:rPr>
          <w:rStyle w:val="FootnoteReference"/>
          <w:rFonts w:ascii="Garamond" w:hAnsi="Garamond"/>
        </w:rPr>
        <w:footnoteRef/>
      </w:r>
      <w:r w:rsidRPr="0069014F">
        <w:rPr>
          <w:rFonts w:ascii="Garamond" w:hAnsi="Garamond"/>
        </w:rPr>
        <w:t xml:space="preserve"> </w:t>
      </w:r>
      <w:r w:rsidR="0069014F" w:rsidRPr="0069014F">
        <w:rPr>
          <w:rFonts w:ascii="Garamond" w:hAnsi="Garamond"/>
        </w:rPr>
        <w:t>Ni</w:t>
      </w:r>
      <w:r w:rsidR="0069014F" w:rsidRPr="0069014F">
        <w:rPr>
          <w:rFonts w:ascii="Times New Roman" w:hAnsi="Times New Roman" w:cs="Times New Roman"/>
        </w:rPr>
        <w:t>‟</w:t>
      </w:r>
      <w:r w:rsidR="0069014F" w:rsidRPr="0069014F">
        <w:rPr>
          <w:rFonts w:ascii="Garamond" w:hAnsi="Garamond"/>
        </w:rPr>
        <w:t>matul Huda, Perkembangan Hukum Tata Negara: Perdebatan dan Gagasan Penyempurnaan, (Yogyakarta: FH UII Press, 2014), hlm. 297</w:t>
      </w:r>
    </w:p>
  </w:footnote>
  <w:footnote w:id="9">
    <w:p w14:paraId="358578AE" w14:textId="3494FB92" w:rsidR="0069014F" w:rsidRPr="0069014F" w:rsidRDefault="0069014F" w:rsidP="00D12FED">
      <w:pPr>
        <w:pStyle w:val="FootnoteText"/>
        <w:rPr>
          <w:rFonts w:ascii="Garamond" w:hAnsi="Garamond"/>
        </w:rPr>
      </w:pPr>
      <w:r w:rsidRPr="0069014F">
        <w:rPr>
          <w:rStyle w:val="FootnoteReference"/>
          <w:rFonts w:ascii="Garamond" w:hAnsi="Garamond"/>
        </w:rPr>
        <w:footnoteRef/>
      </w:r>
      <w:r w:rsidRPr="0069014F">
        <w:rPr>
          <w:rFonts w:ascii="Garamond" w:hAnsi="Garamond"/>
        </w:rPr>
        <w:t xml:space="preserve"> Ibid., hlm. 29</w:t>
      </w:r>
      <w:r>
        <w:rPr>
          <w:rFonts w:ascii="Garamond" w:hAnsi="Garamond"/>
        </w:rPr>
        <w:tab/>
      </w:r>
    </w:p>
  </w:footnote>
  <w:footnote w:id="10">
    <w:p w14:paraId="38530126" w14:textId="66FA2FB1" w:rsidR="0069014F" w:rsidRPr="0069014F" w:rsidRDefault="0069014F" w:rsidP="00D12FED">
      <w:pPr>
        <w:pStyle w:val="FootnoteText"/>
        <w:rPr>
          <w:rFonts w:ascii="Garamond" w:hAnsi="Garamond"/>
        </w:rPr>
      </w:pPr>
      <w:r w:rsidRPr="0069014F">
        <w:rPr>
          <w:rStyle w:val="FootnoteReference"/>
          <w:rFonts w:ascii="Garamond" w:hAnsi="Garamond"/>
        </w:rPr>
        <w:footnoteRef/>
      </w:r>
      <w:r w:rsidRPr="0069014F">
        <w:rPr>
          <w:rFonts w:ascii="Garamond" w:hAnsi="Garamond"/>
        </w:rPr>
        <w:t xml:space="preserve"> A. Qodri Azizy, Eklektisisme Hukum Nasional Kompetisi antara Hukum Islam dan Hukum Umum, (Yogyakarta: Gama Media, 2002), hlm. 94</w:t>
      </w:r>
    </w:p>
  </w:footnote>
  <w:footnote w:id="11">
    <w:p w14:paraId="60FE78B3" w14:textId="19716A9C" w:rsidR="00BE5622" w:rsidRPr="00BE5622" w:rsidRDefault="00BE5622" w:rsidP="00D12FED">
      <w:pPr>
        <w:pStyle w:val="FootnoteText"/>
        <w:rPr>
          <w:rFonts w:ascii="Garamond" w:hAnsi="Garamond"/>
        </w:rPr>
      </w:pPr>
      <w:r w:rsidRPr="00BE5622">
        <w:rPr>
          <w:rStyle w:val="FootnoteReference"/>
          <w:rFonts w:ascii="Garamond" w:hAnsi="Garamond"/>
        </w:rPr>
        <w:footnoteRef/>
      </w:r>
      <w:r w:rsidRPr="00BE5622">
        <w:rPr>
          <w:rFonts w:ascii="Garamond" w:hAnsi="Garamond"/>
        </w:rPr>
        <w:t xml:space="preserve"> Ni</w:t>
      </w:r>
      <w:r w:rsidRPr="00BE5622">
        <w:rPr>
          <w:rFonts w:ascii="Times New Roman" w:hAnsi="Times New Roman" w:cs="Times New Roman"/>
        </w:rPr>
        <w:t>‟</w:t>
      </w:r>
      <w:r w:rsidRPr="00BE5622">
        <w:rPr>
          <w:rFonts w:ascii="Garamond" w:hAnsi="Garamond"/>
        </w:rPr>
        <w:t>matul Huda, Perkembangan Hukum Tata Negara..., hlm. 316</w:t>
      </w:r>
    </w:p>
  </w:footnote>
  <w:footnote w:id="12">
    <w:p w14:paraId="141990B3" w14:textId="19C4D564" w:rsidR="00BE5622" w:rsidRPr="00BE5622" w:rsidRDefault="00BE5622" w:rsidP="00D12FED">
      <w:pPr>
        <w:pStyle w:val="FootnoteText"/>
        <w:rPr>
          <w:rFonts w:ascii="Garamond" w:hAnsi="Garamond"/>
        </w:rPr>
      </w:pPr>
      <w:r w:rsidRPr="00BE5622">
        <w:rPr>
          <w:rStyle w:val="FootnoteReference"/>
          <w:rFonts w:ascii="Garamond" w:hAnsi="Garamond"/>
        </w:rPr>
        <w:footnoteRef/>
      </w:r>
      <w:r w:rsidRPr="00BE5622">
        <w:rPr>
          <w:rFonts w:ascii="Garamond" w:hAnsi="Garamond"/>
        </w:rPr>
        <w:t xml:space="preserve">  M. Syafei Anwar, Pemikiran dan Aksi Islam Indonesia: Sebuah Kajian tentang Cendekiawan Muslim Orde Baru, (Jakarta: Paramadina, 1995), hlm. 144</w:t>
      </w:r>
    </w:p>
  </w:footnote>
  <w:footnote w:id="13">
    <w:p w14:paraId="5B52583C" w14:textId="52CDC973" w:rsidR="00BE5622" w:rsidRPr="00BE5622" w:rsidRDefault="00BE5622" w:rsidP="00D12FED">
      <w:pPr>
        <w:pStyle w:val="FootnoteText"/>
        <w:rPr>
          <w:rFonts w:ascii="Garamond" w:hAnsi="Garamond"/>
        </w:rPr>
      </w:pPr>
      <w:r w:rsidRPr="00BE5622">
        <w:rPr>
          <w:rStyle w:val="FootnoteReference"/>
          <w:rFonts w:ascii="Garamond" w:hAnsi="Garamond"/>
        </w:rPr>
        <w:footnoteRef/>
      </w:r>
      <w:r w:rsidRPr="00BE5622">
        <w:rPr>
          <w:rFonts w:ascii="Garamond" w:hAnsi="Garamond"/>
        </w:rPr>
        <w:t xml:space="preserve">Ibid., hlm. 155 </w:t>
      </w:r>
    </w:p>
  </w:footnote>
  <w:footnote w:id="14">
    <w:p w14:paraId="6C88FE21" w14:textId="3A3617B7" w:rsidR="00BE5622" w:rsidRPr="00BE5622" w:rsidRDefault="00BE5622" w:rsidP="00D12FED">
      <w:pPr>
        <w:pStyle w:val="FootnoteText"/>
        <w:rPr>
          <w:rFonts w:ascii="Garamond" w:hAnsi="Garamond"/>
        </w:rPr>
      </w:pPr>
      <w:r w:rsidRPr="00BE5622">
        <w:rPr>
          <w:rStyle w:val="FootnoteReference"/>
          <w:rFonts w:ascii="Garamond" w:hAnsi="Garamond"/>
        </w:rPr>
        <w:footnoteRef/>
      </w:r>
      <w:r w:rsidRPr="00BE5622">
        <w:rPr>
          <w:rFonts w:ascii="Garamond" w:hAnsi="Garamond"/>
        </w:rPr>
        <w:t xml:space="preserve"> Jimly Asshiddiqie, Menuju Negara Hukum Yang Demokratis, (Jakarta: Sekretariat Jenderal dan Kepaniteraan Mahkamah Konstiusi, 2008) hlm. 708-709</w:t>
      </w:r>
    </w:p>
  </w:footnote>
  <w:footnote w:id="15">
    <w:p w14:paraId="094C7E4C" w14:textId="17FC33E7" w:rsidR="00396015" w:rsidRPr="00396015" w:rsidRDefault="00396015" w:rsidP="00D12FED">
      <w:pPr>
        <w:pStyle w:val="FootnoteText"/>
        <w:rPr>
          <w:rFonts w:ascii="Garamond" w:hAnsi="Garamond"/>
        </w:rPr>
      </w:pPr>
      <w:r w:rsidRPr="00396015">
        <w:rPr>
          <w:rStyle w:val="FootnoteReference"/>
          <w:rFonts w:ascii="Garamond" w:hAnsi="Garamond"/>
        </w:rPr>
        <w:footnoteRef/>
      </w:r>
      <w:r w:rsidRPr="00396015">
        <w:rPr>
          <w:rFonts w:ascii="Garamond" w:hAnsi="Garamond"/>
        </w:rPr>
        <w:t xml:space="preserve"> Muhtada, Dani, Perda Syariah di Indonesia: Penyebaran, Problem, dan Tantangannya, Disampaikan dalam orasi ilmiah dalam rangka Dies Natalis VII Fakultas Hukum Universitas Negeri Semarang pada tanggal 4 Desember 2014 di Semarang</w:t>
      </w:r>
    </w:p>
  </w:footnote>
  <w:footnote w:id="16">
    <w:p w14:paraId="39030EEE" w14:textId="3C6B220A" w:rsidR="00396015" w:rsidRPr="0099178C" w:rsidRDefault="00396015" w:rsidP="00D12FED">
      <w:pPr>
        <w:pStyle w:val="FootnoteText"/>
        <w:rPr>
          <w:rFonts w:ascii="Garamond" w:hAnsi="Garamond"/>
        </w:rPr>
      </w:pPr>
      <w:r w:rsidRPr="0099178C">
        <w:rPr>
          <w:rStyle w:val="FootnoteReference"/>
          <w:rFonts w:ascii="Garamond" w:hAnsi="Garamond"/>
        </w:rPr>
        <w:footnoteRef/>
      </w:r>
      <w:r w:rsidRPr="0099178C">
        <w:rPr>
          <w:rFonts w:ascii="Garamond" w:hAnsi="Garamond"/>
        </w:rPr>
        <w:t xml:space="preserve"> </w:t>
      </w:r>
      <w:r w:rsidR="0099178C" w:rsidRPr="0099178C">
        <w:rPr>
          <w:rFonts w:ascii="Garamond" w:hAnsi="Garamond"/>
        </w:rPr>
        <w:t>Ni</w:t>
      </w:r>
      <w:r w:rsidR="0099178C" w:rsidRPr="0099178C">
        <w:rPr>
          <w:rFonts w:ascii="Times New Roman" w:hAnsi="Times New Roman" w:cs="Times New Roman"/>
        </w:rPr>
        <w:t>‟</w:t>
      </w:r>
      <w:r w:rsidR="0099178C" w:rsidRPr="0099178C">
        <w:rPr>
          <w:rFonts w:ascii="Garamond" w:hAnsi="Garamond"/>
        </w:rPr>
        <w:t>matul Huda, Perkembangan Hukum Tata Negara..., hlm. 303</w:t>
      </w:r>
    </w:p>
  </w:footnote>
  <w:footnote w:id="17">
    <w:p w14:paraId="645F5CF1" w14:textId="47C2E004" w:rsidR="00D15FDC" w:rsidRPr="00D15FDC" w:rsidRDefault="00D15FDC" w:rsidP="00D12FED">
      <w:pPr>
        <w:pStyle w:val="FootnoteText"/>
        <w:rPr>
          <w:rFonts w:ascii="Garamond" w:hAnsi="Garamond"/>
        </w:rPr>
      </w:pPr>
      <w:r w:rsidRPr="00D15FDC">
        <w:rPr>
          <w:rStyle w:val="FootnoteReference"/>
          <w:rFonts w:ascii="Garamond" w:hAnsi="Garamond"/>
        </w:rPr>
        <w:footnoteRef/>
      </w:r>
      <w:r w:rsidRPr="00D15FDC">
        <w:rPr>
          <w:rFonts w:ascii="Garamond" w:hAnsi="Garamond"/>
        </w:rPr>
        <w:t xml:space="preserve"> Bachtiar Effendy, Islam dan Negara; Transformasi Pemikiran dan Praktik Politik Islam di Indonesia,(Jakarta; Paramadina, 1998) h. 6 </w:t>
      </w:r>
    </w:p>
  </w:footnote>
  <w:footnote w:id="18">
    <w:p w14:paraId="6E7757BC" w14:textId="2E86AE73" w:rsidR="00D15FDC" w:rsidRPr="00D15FDC" w:rsidRDefault="00D15FDC" w:rsidP="00D12FED">
      <w:pPr>
        <w:pStyle w:val="FootnoteText"/>
        <w:rPr>
          <w:rFonts w:ascii="Garamond" w:hAnsi="Garamond"/>
        </w:rPr>
      </w:pPr>
      <w:r w:rsidRPr="00D15FDC">
        <w:rPr>
          <w:rStyle w:val="FootnoteReference"/>
          <w:rFonts w:ascii="Garamond" w:hAnsi="Garamond"/>
        </w:rPr>
        <w:footnoteRef/>
      </w:r>
      <w:r w:rsidRPr="00D15FDC">
        <w:rPr>
          <w:rFonts w:ascii="Garamond" w:hAnsi="Garamond"/>
        </w:rPr>
        <w:t xml:space="preserve"> Fazlur Rahman, Holt, Reinchaart, and Winston (New York; Chichago, San Fransisco,1966) h. 4.</w:t>
      </w:r>
    </w:p>
  </w:footnote>
  <w:footnote w:id="19">
    <w:p w14:paraId="6CA5F715" w14:textId="1CDF5977" w:rsidR="00D15FDC" w:rsidRPr="00D15FDC" w:rsidRDefault="00D15FDC" w:rsidP="00D12FED">
      <w:pPr>
        <w:pStyle w:val="FootnoteText"/>
        <w:rPr>
          <w:rFonts w:ascii="Garamond" w:hAnsi="Garamond"/>
        </w:rPr>
      </w:pPr>
      <w:r w:rsidRPr="00D15FDC">
        <w:rPr>
          <w:rStyle w:val="FootnoteReference"/>
          <w:rFonts w:ascii="Garamond" w:hAnsi="Garamond"/>
        </w:rPr>
        <w:footnoteRef/>
      </w:r>
      <w:r w:rsidRPr="00D15FDC">
        <w:rPr>
          <w:rFonts w:ascii="Garamond" w:hAnsi="Garamond"/>
        </w:rPr>
        <w:t xml:space="preserve"> Ibid, h. 5</w:t>
      </w:r>
    </w:p>
  </w:footnote>
  <w:footnote w:id="20">
    <w:p w14:paraId="637A76BE" w14:textId="3CB74E67" w:rsidR="00D15FDC" w:rsidRPr="00D15FDC" w:rsidRDefault="00D15FDC" w:rsidP="00D12FED">
      <w:pPr>
        <w:pStyle w:val="FootnoteText"/>
        <w:rPr>
          <w:rFonts w:ascii="Garamond" w:hAnsi="Garamond"/>
        </w:rPr>
      </w:pPr>
      <w:r w:rsidRPr="00D15FDC">
        <w:rPr>
          <w:rStyle w:val="FootnoteReference"/>
          <w:rFonts w:ascii="Garamond" w:hAnsi="Garamond"/>
        </w:rPr>
        <w:footnoteRef/>
      </w:r>
      <w:r w:rsidRPr="00D15FDC">
        <w:rPr>
          <w:rFonts w:ascii="Garamond" w:hAnsi="Garamond"/>
        </w:rPr>
        <w:t xml:space="preserve"> Bactiar Effendi, Op.Cit, h. 9.  </w:t>
      </w:r>
    </w:p>
  </w:footnote>
  <w:footnote w:id="21">
    <w:p w14:paraId="31E31C13" w14:textId="07830896" w:rsidR="00D15FDC" w:rsidRPr="00D15FDC" w:rsidRDefault="00D15FDC" w:rsidP="00D12FED">
      <w:pPr>
        <w:pStyle w:val="FootnoteText"/>
        <w:rPr>
          <w:rFonts w:ascii="Garamond" w:hAnsi="Garamond"/>
        </w:rPr>
      </w:pPr>
      <w:r w:rsidRPr="00D15FDC">
        <w:rPr>
          <w:rStyle w:val="FootnoteReference"/>
          <w:rFonts w:ascii="Garamond" w:hAnsi="Garamond"/>
        </w:rPr>
        <w:footnoteRef/>
      </w:r>
      <w:r w:rsidRPr="00D15FDC">
        <w:rPr>
          <w:rFonts w:ascii="Garamond" w:hAnsi="Garamond"/>
        </w:rPr>
        <w:t xml:space="preserve"> QS An Nahl (16) ayat 89.</w:t>
      </w:r>
    </w:p>
  </w:footnote>
  <w:footnote w:id="22">
    <w:p w14:paraId="5BB4D4E2" w14:textId="6BECAEDA" w:rsidR="00D15FDC" w:rsidRPr="005E397E" w:rsidRDefault="00D15FDC" w:rsidP="00D12FED">
      <w:pPr>
        <w:pStyle w:val="FootnoteText"/>
        <w:rPr>
          <w:rFonts w:ascii="Garamond" w:hAnsi="Garamond"/>
        </w:rPr>
      </w:pPr>
      <w:r w:rsidRPr="005E397E">
        <w:rPr>
          <w:rStyle w:val="FootnoteReference"/>
          <w:rFonts w:ascii="Garamond" w:hAnsi="Garamond"/>
        </w:rPr>
        <w:footnoteRef/>
      </w:r>
      <w:r w:rsidRPr="005E397E">
        <w:rPr>
          <w:rFonts w:ascii="Garamond" w:hAnsi="Garamond"/>
        </w:rPr>
        <w:t xml:space="preserve">  Ibid, h. 12</w:t>
      </w:r>
    </w:p>
  </w:footnote>
  <w:footnote w:id="23">
    <w:p w14:paraId="2864E7EE" w14:textId="56F72DEE" w:rsidR="00D15FDC" w:rsidRPr="005E397E" w:rsidRDefault="00D15FDC" w:rsidP="00D12FED">
      <w:pPr>
        <w:pStyle w:val="FootnoteText"/>
        <w:rPr>
          <w:rFonts w:ascii="Garamond" w:hAnsi="Garamond"/>
        </w:rPr>
      </w:pPr>
      <w:r w:rsidRPr="005E397E">
        <w:rPr>
          <w:rStyle w:val="FootnoteReference"/>
          <w:rFonts w:ascii="Garamond" w:hAnsi="Garamond"/>
        </w:rPr>
        <w:footnoteRef/>
      </w:r>
      <w:r w:rsidRPr="005E397E">
        <w:rPr>
          <w:rFonts w:ascii="Garamond" w:hAnsi="Garamond"/>
        </w:rPr>
        <w:t xml:space="preserve"> Munawir Sjadzali, Islam dan Tata Negara, (Jakarta; LP3ES, 1985) h. 235-236</w:t>
      </w:r>
    </w:p>
  </w:footnote>
  <w:footnote w:id="24">
    <w:p w14:paraId="67E129BD" w14:textId="4A42BA4E" w:rsidR="005E397E" w:rsidRPr="005E397E" w:rsidRDefault="005E397E" w:rsidP="00D12FED">
      <w:pPr>
        <w:pStyle w:val="FootnoteText"/>
        <w:rPr>
          <w:rFonts w:ascii="Garamond" w:hAnsi="Garamond"/>
        </w:rPr>
      </w:pPr>
      <w:r w:rsidRPr="005E397E">
        <w:rPr>
          <w:rStyle w:val="FootnoteReference"/>
          <w:rFonts w:ascii="Garamond" w:hAnsi="Garamond"/>
        </w:rPr>
        <w:footnoteRef/>
      </w:r>
      <w:r w:rsidRPr="005E397E">
        <w:rPr>
          <w:rFonts w:ascii="Garamond" w:hAnsi="Garamond"/>
        </w:rPr>
        <w:t xml:space="preserve"> Hussein Muhammad, Islam dan Negara Kebanggaan; Tinjauan Politik, dalam Ahmad Suaedy, Pergulatan Pesantren dan Demokrasi, (Yogyakarta; LKIS, 2000) h. 92-94</w:t>
      </w:r>
    </w:p>
  </w:footnote>
  <w:footnote w:id="25">
    <w:p w14:paraId="5D535DDD" w14:textId="55A2F103" w:rsidR="005E397E" w:rsidRPr="00BB1543" w:rsidRDefault="001F5200" w:rsidP="00D12FED">
      <w:pPr>
        <w:pStyle w:val="FootnoteText"/>
        <w:rPr>
          <w:rFonts w:ascii="Garamond" w:hAnsi="Garamond"/>
        </w:rPr>
      </w:pPr>
      <w:r>
        <w:rPr>
          <w:rFonts w:ascii="Garamond" w:hAnsi="Garamond"/>
          <w:vertAlign w:val="superscript"/>
        </w:rPr>
        <w:t xml:space="preserve">25 </w:t>
      </w:r>
      <w:r w:rsidR="005E397E" w:rsidRPr="00BB1543">
        <w:rPr>
          <w:rFonts w:ascii="Garamond" w:hAnsi="Garamond"/>
        </w:rPr>
        <w:t>M.Amien Rais, “Negara dan Masyarakat dalam Sistem Religio Politik Islam”. Makalah disampaikan dalam diskusi Konsep Negara dalam Islam di Fakultas Hukum UII, Yogyakarta, pada tanggal 4 Oktober 1987, t.d, h. 7.</w:t>
      </w:r>
    </w:p>
  </w:footnote>
  <w:footnote w:id="26">
    <w:p w14:paraId="0852E896" w14:textId="77107CDB" w:rsidR="00BB1543" w:rsidRPr="00BB1543" w:rsidRDefault="00BB1543" w:rsidP="00D12FED">
      <w:pPr>
        <w:pStyle w:val="FootnoteText"/>
        <w:rPr>
          <w:rFonts w:ascii="Garamond" w:hAnsi="Garamond"/>
        </w:rPr>
      </w:pPr>
      <w:r w:rsidRPr="00BB1543">
        <w:rPr>
          <w:rStyle w:val="FootnoteReference"/>
          <w:rFonts w:ascii="Garamond" w:hAnsi="Garamond"/>
        </w:rPr>
        <w:footnoteRef/>
      </w:r>
      <w:r w:rsidRPr="00BB1543">
        <w:rPr>
          <w:rFonts w:ascii="Garamond" w:hAnsi="Garamond"/>
        </w:rPr>
        <w:t xml:space="preserve"> Muhamad Yusuf Musa, an-Nizham al-Hukmi fi al-Islam,( Al-Qahira: Daral-Ma</w:t>
      </w:r>
      <w:r w:rsidRPr="00BB1543">
        <w:rPr>
          <w:rFonts w:ascii="Times New Roman" w:hAnsi="Times New Roman" w:cs="Times New Roman"/>
        </w:rPr>
        <w:t>‟</w:t>
      </w:r>
      <w:r w:rsidRPr="00BB1543">
        <w:rPr>
          <w:rFonts w:ascii="Garamond" w:hAnsi="Garamond"/>
        </w:rPr>
        <w:t>rifa, 1964) h. 7.</w:t>
      </w:r>
    </w:p>
  </w:footnote>
  <w:footnote w:id="27">
    <w:p w14:paraId="34BB14CB" w14:textId="29B3CFF2" w:rsidR="00BB1543" w:rsidRPr="00BB1543" w:rsidRDefault="00BB1543" w:rsidP="00D12FED">
      <w:pPr>
        <w:pStyle w:val="FootnoteText"/>
        <w:rPr>
          <w:rFonts w:ascii="Garamond" w:hAnsi="Garamond"/>
        </w:rPr>
      </w:pPr>
      <w:r w:rsidRPr="00BB1543">
        <w:rPr>
          <w:rStyle w:val="FootnoteReference"/>
          <w:rFonts w:ascii="Garamond" w:hAnsi="Garamond"/>
        </w:rPr>
        <w:footnoteRef/>
      </w:r>
      <w:r w:rsidRPr="00BB1543">
        <w:rPr>
          <w:rFonts w:ascii="Garamond" w:hAnsi="Garamond"/>
        </w:rPr>
        <w:t xml:space="preserve"> Hussein Muhammad, Op. Cit, h. 95</w:t>
      </w:r>
    </w:p>
  </w:footnote>
  <w:footnote w:id="28">
    <w:p w14:paraId="2D7CA8AF" w14:textId="15C7A1E5" w:rsidR="00BB1543" w:rsidRPr="00BB1543" w:rsidRDefault="00BB1543" w:rsidP="00D12FED">
      <w:pPr>
        <w:pStyle w:val="FootnoteText"/>
        <w:rPr>
          <w:rFonts w:ascii="Garamond" w:hAnsi="Garamond"/>
        </w:rPr>
      </w:pPr>
      <w:r w:rsidRPr="00BB1543">
        <w:rPr>
          <w:rStyle w:val="FootnoteReference"/>
          <w:rFonts w:ascii="Garamond" w:hAnsi="Garamond"/>
        </w:rPr>
        <w:footnoteRef/>
      </w:r>
      <w:r w:rsidRPr="00BB1543">
        <w:rPr>
          <w:rFonts w:ascii="Garamond" w:hAnsi="Garamond"/>
        </w:rPr>
        <w:t xml:space="preserve"> Nurcholis Madjid, et.al, Menyegerakan Paham Keagamaan di Kalangan Umat Islam di Indonesia dalam Islam, Kemoderenan dan Keindonesiaan, Cetakan Kesebelas (Bandung; Mizan, 1998) h. 253. 23 </w:t>
      </w:r>
    </w:p>
  </w:footnote>
  <w:footnote w:id="29">
    <w:p w14:paraId="1799FDAE" w14:textId="48BFA1FC" w:rsidR="00BB1543" w:rsidRPr="00D06E62" w:rsidRDefault="001F5200" w:rsidP="00D12FED">
      <w:pPr>
        <w:pStyle w:val="FootnoteText"/>
        <w:rPr>
          <w:rFonts w:ascii="Garamond" w:hAnsi="Garamond"/>
        </w:rPr>
      </w:pPr>
      <w:r>
        <w:rPr>
          <w:rFonts w:ascii="Garamond" w:hAnsi="Garamond"/>
          <w:vertAlign w:val="superscript"/>
        </w:rPr>
        <w:t xml:space="preserve">29 </w:t>
      </w:r>
      <w:r w:rsidR="00D06E62" w:rsidRPr="00D06E62">
        <w:rPr>
          <w:rFonts w:ascii="Garamond" w:hAnsi="Garamond"/>
        </w:rPr>
        <w:t>Syamsul Wahidin dan Abdurrahman, Perkembangan Ringkas Hukum Islam di Indonesia,(Jakarta, Akademi Pressindo, 1984) h. . 73, dikutip dari, Muntoha, Op.Cit, h. 108.</w:t>
      </w:r>
    </w:p>
  </w:footnote>
  <w:footnote w:id="30">
    <w:p w14:paraId="194682B0" w14:textId="0EF8BAD8" w:rsidR="00D06E62" w:rsidRPr="00D06E62" w:rsidRDefault="00D06E62" w:rsidP="00D12FED">
      <w:pPr>
        <w:pStyle w:val="FootnoteText"/>
        <w:rPr>
          <w:rFonts w:ascii="Garamond" w:hAnsi="Garamond"/>
        </w:rPr>
      </w:pPr>
      <w:r w:rsidRPr="00D06E62">
        <w:rPr>
          <w:rFonts w:ascii="Garamond" w:hAnsi="Garamond"/>
        </w:rPr>
        <w:t>7 M. Tahir Azhari, Negara Hukum Suatu Studi tentang Prinsip-prinsipnya dilihat dari Segi Hukum Islam, Implementasinya pada Periode Negara Madinah dan Masa Kini, (Jakarta, Bulan Bintang, 1992) h. 69.</w:t>
      </w:r>
    </w:p>
  </w:footnote>
  <w:footnote w:id="31">
    <w:p w14:paraId="1242232A" w14:textId="1E36693F" w:rsidR="00D06E62" w:rsidRPr="00D06E62" w:rsidRDefault="00D06E62" w:rsidP="00D12FED">
      <w:pPr>
        <w:pStyle w:val="FootnoteText"/>
        <w:rPr>
          <w:rFonts w:ascii="Garamond" w:hAnsi="Garamond"/>
        </w:rPr>
      </w:pPr>
      <w:r w:rsidRPr="00D06E62">
        <w:rPr>
          <w:rStyle w:val="FootnoteReference"/>
          <w:rFonts w:ascii="Garamond" w:hAnsi="Garamond"/>
        </w:rPr>
        <w:footnoteRef/>
      </w:r>
      <w:r w:rsidRPr="00D06E62">
        <w:rPr>
          <w:rFonts w:ascii="Garamond" w:hAnsi="Garamond"/>
        </w:rPr>
        <w:t xml:space="preserve"> Muntoha, Otonomi Daerah..., h. . 109</w:t>
      </w:r>
    </w:p>
  </w:footnote>
  <w:footnote w:id="32">
    <w:p w14:paraId="2C341E59" w14:textId="63B7BAD1" w:rsidR="000F2B8E" w:rsidRPr="00A77602" w:rsidRDefault="000F2B8E" w:rsidP="00D12FED">
      <w:pPr>
        <w:pStyle w:val="FootnoteText"/>
        <w:rPr>
          <w:rFonts w:ascii="Garamond" w:hAnsi="Garamond"/>
        </w:rPr>
      </w:pPr>
      <w:r w:rsidRPr="00A77602">
        <w:rPr>
          <w:rStyle w:val="FootnoteReference"/>
          <w:rFonts w:ascii="Garamond" w:hAnsi="Garamond"/>
        </w:rPr>
        <w:footnoteRef/>
      </w:r>
      <w:r w:rsidRPr="00A77602">
        <w:rPr>
          <w:rFonts w:ascii="Garamond" w:hAnsi="Garamond"/>
        </w:rPr>
        <w:t xml:space="preserve"> Colida hanum,”</w:t>
      </w:r>
      <w:r w:rsidR="00A77602" w:rsidRPr="00A77602">
        <w:rPr>
          <w:rFonts w:ascii="Garamond" w:hAnsi="Garamond"/>
        </w:rPr>
        <w:t>Perda Syariah Perspektif Ketatanegaraan Dan Siyasah Dusturiyah</w:t>
      </w:r>
      <w:r w:rsidRPr="00A77602">
        <w:rPr>
          <w:rFonts w:ascii="Garamond" w:hAnsi="Garamond"/>
        </w:rPr>
        <w:t>”,</w:t>
      </w:r>
      <w:r w:rsidR="001B18DB">
        <w:rPr>
          <w:rFonts w:ascii="Garamond" w:hAnsi="Garamond"/>
        </w:rPr>
        <w:t>(jurnal ilmu syariah dan hukum)</w:t>
      </w:r>
      <w:r w:rsidRPr="00A77602">
        <w:rPr>
          <w:rFonts w:ascii="Garamond" w:hAnsi="Garamond"/>
        </w:rPr>
        <w:t xml:space="preserve"> Vol. 4, Nomor 2, 2019,hl</w:t>
      </w:r>
      <w:r w:rsidR="00A77602">
        <w:rPr>
          <w:rFonts w:ascii="Garamond" w:hAnsi="Garamond"/>
        </w:rPr>
        <w:t>m</w:t>
      </w:r>
      <w:r w:rsidRPr="00A77602">
        <w:rPr>
          <w:rFonts w:ascii="Garamond" w:hAnsi="Garamond"/>
        </w:rPr>
        <w:t>12</w:t>
      </w:r>
      <w:r w:rsidR="00A77602" w:rsidRPr="00A77602">
        <w:rPr>
          <w:rFonts w:ascii="Garamond" w:hAnsi="Garamond"/>
        </w:rPr>
        <w:t>3</w:t>
      </w:r>
    </w:p>
  </w:footnote>
  <w:footnote w:id="33">
    <w:p w14:paraId="0A8F20C4" w14:textId="78E2DCF7" w:rsidR="00A77602" w:rsidRPr="00A77602" w:rsidRDefault="00F67792" w:rsidP="00D12FED">
      <w:pPr>
        <w:pStyle w:val="FootnoteText"/>
        <w:rPr>
          <w:rFonts w:ascii="Garamond" w:hAnsi="Garamond"/>
        </w:rPr>
      </w:pPr>
      <w:r>
        <w:rPr>
          <w:rFonts w:ascii="Garamond" w:hAnsi="Garamond"/>
          <w:vertAlign w:val="superscript"/>
        </w:rPr>
        <w:t xml:space="preserve">33 </w:t>
      </w:r>
      <w:r w:rsidR="00A77602" w:rsidRPr="00A77602">
        <w:rPr>
          <w:rFonts w:ascii="Garamond" w:hAnsi="Garamond"/>
        </w:rPr>
        <w:t>Hayatun na’imah,” Perda Berbasis Syariah Dan Hubungan Negara-Agama Dalam Perspektif Pancasila” Mazahib,Vol XV, No. 2 (Desember 2016),hlm164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8B3"/>
    <w:multiLevelType w:val="hybridMultilevel"/>
    <w:tmpl w:val="248A3F66"/>
    <w:lvl w:ilvl="0" w:tplc="7DD2805E">
      <w:start w:val="1"/>
      <w:numFmt w:val="decimal"/>
      <w:lvlText w:val="%1."/>
      <w:lvlJc w:val="left"/>
      <w:pPr>
        <w:ind w:left="1130" w:hanging="360"/>
      </w:pPr>
      <w:rPr>
        <w:rFonts w:hint="default"/>
      </w:rPr>
    </w:lvl>
    <w:lvl w:ilvl="1" w:tplc="04210019" w:tentative="1">
      <w:start w:val="1"/>
      <w:numFmt w:val="lowerLetter"/>
      <w:lvlText w:val="%2."/>
      <w:lvlJc w:val="left"/>
      <w:pPr>
        <w:ind w:left="1850" w:hanging="360"/>
      </w:pPr>
    </w:lvl>
    <w:lvl w:ilvl="2" w:tplc="0421001B" w:tentative="1">
      <w:start w:val="1"/>
      <w:numFmt w:val="lowerRoman"/>
      <w:lvlText w:val="%3."/>
      <w:lvlJc w:val="right"/>
      <w:pPr>
        <w:ind w:left="2570" w:hanging="180"/>
      </w:pPr>
    </w:lvl>
    <w:lvl w:ilvl="3" w:tplc="0421000F" w:tentative="1">
      <w:start w:val="1"/>
      <w:numFmt w:val="decimal"/>
      <w:lvlText w:val="%4."/>
      <w:lvlJc w:val="left"/>
      <w:pPr>
        <w:ind w:left="3290" w:hanging="360"/>
      </w:pPr>
    </w:lvl>
    <w:lvl w:ilvl="4" w:tplc="04210019" w:tentative="1">
      <w:start w:val="1"/>
      <w:numFmt w:val="lowerLetter"/>
      <w:lvlText w:val="%5."/>
      <w:lvlJc w:val="left"/>
      <w:pPr>
        <w:ind w:left="4010" w:hanging="360"/>
      </w:pPr>
    </w:lvl>
    <w:lvl w:ilvl="5" w:tplc="0421001B" w:tentative="1">
      <w:start w:val="1"/>
      <w:numFmt w:val="lowerRoman"/>
      <w:lvlText w:val="%6."/>
      <w:lvlJc w:val="right"/>
      <w:pPr>
        <w:ind w:left="4730" w:hanging="180"/>
      </w:pPr>
    </w:lvl>
    <w:lvl w:ilvl="6" w:tplc="0421000F" w:tentative="1">
      <w:start w:val="1"/>
      <w:numFmt w:val="decimal"/>
      <w:lvlText w:val="%7."/>
      <w:lvlJc w:val="left"/>
      <w:pPr>
        <w:ind w:left="5450" w:hanging="360"/>
      </w:pPr>
    </w:lvl>
    <w:lvl w:ilvl="7" w:tplc="04210019" w:tentative="1">
      <w:start w:val="1"/>
      <w:numFmt w:val="lowerLetter"/>
      <w:lvlText w:val="%8."/>
      <w:lvlJc w:val="left"/>
      <w:pPr>
        <w:ind w:left="6170" w:hanging="360"/>
      </w:pPr>
    </w:lvl>
    <w:lvl w:ilvl="8" w:tplc="0421001B" w:tentative="1">
      <w:start w:val="1"/>
      <w:numFmt w:val="lowerRoman"/>
      <w:lvlText w:val="%9."/>
      <w:lvlJc w:val="right"/>
      <w:pPr>
        <w:ind w:left="6890" w:hanging="180"/>
      </w:pPr>
    </w:lvl>
  </w:abstractNum>
  <w:abstractNum w:abstractNumId="1">
    <w:nsid w:val="14500364"/>
    <w:multiLevelType w:val="hybridMultilevel"/>
    <w:tmpl w:val="6908B7A8"/>
    <w:lvl w:ilvl="0" w:tplc="33F46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5015B2"/>
    <w:multiLevelType w:val="hybridMultilevel"/>
    <w:tmpl w:val="E6AAAF8C"/>
    <w:lvl w:ilvl="0" w:tplc="0248FF74">
      <w:start w:val="1"/>
      <w:numFmt w:val="upperLetter"/>
      <w:lvlText w:val="%1."/>
      <w:lvlJc w:val="left"/>
      <w:pPr>
        <w:ind w:left="644" w:hanging="360"/>
      </w:pPr>
      <w:rPr>
        <w:rFonts w:ascii="Garamond" w:eastAsiaTheme="minorHAnsi" w:hAnsi="Garamond" w:cs="Calibri"/>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C0488B"/>
    <w:multiLevelType w:val="hybridMultilevel"/>
    <w:tmpl w:val="B6C40D86"/>
    <w:lvl w:ilvl="0" w:tplc="CBA4CD8A">
      <w:start w:val="1"/>
      <w:numFmt w:val="decimal"/>
      <w:lvlText w:val="%1."/>
      <w:lvlJc w:val="left"/>
      <w:pPr>
        <w:ind w:left="1490" w:hanging="360"/>
      </w:pPr>
      <w:rPr>
        <w:rFonts w:hint="default"/>
      </w:r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4">
    <w:nsid w:val="63713978"/>
    <w:multiLevelType w:val="hybridMultilevel"/>
    <w:tmpl w:val="E46CB8CE"/>
    <w:lvl w:ilvl="0" w:tplc="04928FAA">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5">
    <w:nsid w:val="7ACE0B9A"/>
    <w:multiLevelType w:val="hybridMultilevel"/>
    <w:tmpl w:val="822C46D0"/>
    <w:lvl w:ilvl="0" w:tplc="EC865908">
      <w:start w:val="1"/>
      <w:numFmt w:val="decimal"/>
      <w:lvlText w:val="%1."/>
      <w:lvlJc w:val="left"/>
      <w:pPr>
        <w:ind w:left="1800" w:hanging="360"/>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4A"/>
    <w:rsid w:val="0001583D"/>
    <w:rsid w:val="0003360D"/>
    <w:rsid w:val="00040FB4"/>
    <w:rsid w:val="00061DBF"/>
    <w:rsid w:val="00067C71"/>
    <w:rsid w:val="00075A6C"/>
    <w:rsid w:val="000843DA"/>
    <w:rsid w:val="0008497B"/>
    <w:rsid w:val="00086F5C"/>
    <w:rsid w:val="00087FD3"/>
    <w:rsid w:val="000B7F03"/>
    <w:rsid w:val="000D0454"/>
    <w:rsid w:val="000D2F9B"/>
    <w:rsid w:val="000D721B"/>
    <w:rsid w:val="000E0274"/>
    <w:rsid w:val="000E53E5"/>
    <w:rsid w:val="000F2496"/>
    <w:rsid w:val="000F2B8E"/>
    <w:rsid w:val="000F59BF"/>
    <w:rsid w:val="00104681"/>
    <w:rsid w:val="00126919"/>
    <w:rsid w:val="00127703"/>
    <w:rsid w:val="00127C47"/>
    <w:rsid w:val="00135878"/>
    <w:rsid w:val="00144AD6"/>
    <w:rsid w:val="00162E10"/>
    <w:rsid w:val="00177312"/>
    <w:rsid w:val="00197F3C"/>
    <w:rsid w:val="001B18DB"/>
    <w:rsid w:val="001B490A"/>
    <w:rsid w:val="001B5784"/>
    <w:rsid w:val="001D6F74"/>
    <w:rsid w:val="001E4226"/>
    <w:rsid w:val="001F5200"/>
    <w:rsid w:val="00245A22"/>
    <w:rsid w:val="00252F8D"/>
    <w:rsid w:val="00261CDB"/>
    <w:rsid w:val="00290E2C"/>
    <w:rsid w:val="002C1E9D"/>
    <w:rsid w:val="002D1140"/>
    <w:rsid w:val="002D28C2"/>
    <w:rsid w:val="002D6084"/>
    <w:rsid w:val="002E7298"/>
    <w:rsid w:val="002E785E"/>
    <w:rsid w:val="002F7A2A"/>
    <w:rsid w:val="003045FB"/>
    <w:rsid w:val="0032115C"/>
    <w:rsid w:val="00322E87"/>
    <w:rsid w:val="003527DD"/>
    <w:rsid w:val="00356CFB"/>
    <w:rsid w:val="00360DA7"/>
    <w:rsid w:val="00364AEF"/>
    <w:rsid w:val="00396015"/>
    <w:rsid w:val="003B4B0B"/>
    <w:rsid w:val="003E2628"/>
    <w:rsid w:val="004014C4"/>
    <w:rsid w:val="00424150"/>
    <w:rsid w:val="00426D9B"/>
    <w:rsid w:val="00464F47"/>
    <w:rsid w:val="00466359"/>
    <w:rsid w:val="00477E3A"/>
    <w:rsid w:val="004A3473"/>
    <w:rsid w:val="004A44C1"/>
    <w:rsid w:val="004C34B6"/>
    <w:rsid w:val="00500F2D"/>
    <w:rsid w:val="00502C0F"/>
    <w:rsid w:val="00513BF2"/>
    <w:rsid w:val="005229ED"/>
    <w:rsid w:val="00552C98"/>
    <w:rsid w:val="00564392"/>
    <w:rsid w:val="00591C31"/>
    <w:rsid w:val="00593631"/>
    <w:rsid w:val="005969AD"/>
    <w:rsid w:val="005A7B78"/>
    <w:rsid w:val="005B401A"/>
    <w:rsid w:val="005E397E"/>
    <w:rsid w:val="005E41CD"/>
    <w:rsid w:val="005F51E7"/>
    <w:rsid w:val="005F7068"/>
    <w:rsid w:val="00612FE5"/>
    <w:rsid w:val="0064124F"/>
    <w:rsid w:val="00642F79"/>
    <w:rsid w:val="006551D6"/>
    <w:rsid w:val="00657597"/>
    <w:rsid w:val="00666BA4"/>
    <w:rsid w:val="00673596"/>
    <w:rsid w:val="006827F9"/>
    <w:rsid w:val="0069014F"/>
    <w:rsid w:val="006D2514"/>
    <w:rsid w:val="006D56FE"/>
    <w:rsid w:val="006D7401"/>
    <w:rsid w:val="006E029E"/>
    <w:rsid w:val="006E7964"/>
    <w:rsid w:val="00701A28"/>
    <w:rsid w:val="00703D65"/>
    <w:rsid w:val="007127AA"/>
    <w:rsid w:val="007248A8"/>
    <w:rsid w:val="0072774A"/>
    <w:rsid w:val="00732A50"/>
    <w:rsid w:val="00751C99"/>
    <w:rsid w:val="00756358"/>
    <w:rsid w:val="00763037"/>
    <w:rsid w:val="0076343E"/>
    <w:rsid w:val="0077041E"/>
    <w:rsid w:val="00773D78"/>
    <w:rsid w:val="00787CE3"/>
    <w:rsid w:val="00793107"/>
    <w:rsid w:val="007A2804"/>
    <w:rsid w:val="007C6287"/>
    <w:rsid w:val="007D41DE"/>
    <w:rsid w:val="007E6060"/>
    <w:rsid w:val="007F32E9"/>
    <w:rsid w:val="008007C1"/>
    <w:rsid w:val="0081089C"/>
    <w:rsid w:val="00814D7C"/>
    <w:rsid w:val="00826917"/>
    <w:rsid w:val="00836F2C"/>
    <w:rsid w:val="00850423"/>
    <w:rsid w:val="00882445"/>
    <w:rsid w:val="008C40FD"/>
    <w:rsid w:val="008F273A"/>
    <w:rsid w:val="0090287A"/>
    <w:rsid w:val="00903D28"/>
    <w:rsid w:val="009254B3"/>
    <w:rsid w:val="009564A5"/>
    <w:rsid w:val="00970210"/>
    <w:rsid w:val="00970982"/>
    <w:rsid w:val="0099178C"/>
    <w:rsid w:val="009A16BF"/>
    <w:rsid w:val="009A4133"/>
    <w:rsid w:val="009D3A37"/>
    <w:rsid w:val="009D5574"/>
    <w:rsid w:val="00A02387"/>
    <w:rsid w:val="00A03295"/>
    <w:rsid w:val="00A10F33"/>
    <w:rsid w:val="00A23779"/>
    <w:rsid w:val="00A63CC2"/>
    <w:rsid w:val="00A65B61"/>
    <w:rsid w:val="00A71090"/>
    <w:rsid w:val="00A7234B"/>
    <w:rsid w:val="00A7584B"/>
    <w:rsid w:val="00A77602"/>
    <w:rsid w:val="00A81AE0"/>
    <w:rsid w:val="00A847ED"/>
    <w:rsid w:val="00A964D4"/>
    <w:rsid w:val="00AD079D"/>
    <w:rsid w:val="00AD3100"/>
    <w:rsid w:val="00AE17A2"/>
    <w:rsid w:val="00AF643C"/>
    <w:rsid w:val="00AF681C"/>
    <w:rsid w:val="00B03409"/>
    <w:rsid w:val="00B17EF8"/>
    <w:rsid w:val="00B43B01"/>
    <w:rsid w:val="00B5024A"/>
    <w:rsid w:val="00B660CC"/>
    <w:rsid w:val="00B95E93"/>
    <w:rsid w:val="00BA029B"/>
    <w:rsid w:val="00BA6212"/>
    <w:rsid w:val="00BB1543"/>
    <w:rsid w:val="00BB7729"/>
    <w:rsid w:val="00BC06BB"/>
    <w:rsid w:val="00BD1257"/>
    <w:rsid w:val="00BD6287"/>
    <w:rsid w:val="00BD6DE1"/>
    <w:rsid w:val="00BE5622"/>
    <w:rsid w:val="00BF3A97"/>
    <w:rsid w:val="00BF4BDC"/>
    <w:rsid w:val="00C018DA"/>
    <w:rsid w:val="00C118F1"/>
    <w:rsid w:val="00C20747"/>
    <w:rsid w:val="00C22460"/>
    <w:rsid w:val="00C47374"/>
    <w:rsid w:val="00C70F9F"/>
    <w:rsid w:val="00C75D67"/>
    <w:rsid w:val="00C86557"/>
    <w:rsid w:val="00C97FC2"/>
    <w:rsid w:val="00CB3A0F"/>
    <w:rsid w:val="00CC2DB7"/>
    <w:rsid w:val="00CD6798"/>
    <w:rsid w:val="00D06E62"/>
    <w:rsid w:val="00D12837"/>
    <w:rsid w:val="00D12FED"/>
    <w:rsid w:val="00D14BCB"/>
    <w:rsid w:val="00D15FDC"/>
    <w:rsid w:val="00D43C1D"/>
    <w:rsid w:val="00D53B7E"/>
    <w:rsid w:val="00D76965"/>
    <w:rsid w:val="00D811ED"/>
    <w:rsid w:val="00D95CFA"/>
    <w:rsid w:val="00DA458C"/>
    <w:rsid w:val="00DA4947"/>
    <w:rsid w:val="00DA6794"/>
    <w:rsid w:val="00DA6B60"/>
    <w:rsid w:val="00DB1FA5"/>
    <w:rsid w:val="00DB68F5"/>
    <w:rsid w:val="00DC050A"/>
    <w:rsid w:val="00DC56F7"/>
    <w:rsid w:val="00DD45A1"/>
    <w:rsid w:val="00DD7764"/>
    <w:rsid w:val="00DE0EE5"/>
    <w:rsid w:val="00DE2049"/>
    <w:rsid w:val="00DE5CBB"/>
    <w:rsid w:val="00DF1D56"/>
    <w:rsid w:val="00E20579"/>
    <w:rsid w:val="00E64B60"/>
    <w:rsid w:val="00E70454"/>
    <w:rsid w:val="00E71007"/>
    <w:rsid w:val="00E7352C"/>
    <w:rsid w:val="00EA2DDC"/>
    <w:rsid w:val="00EB2B12"/>
    <w:rsid w:val="00EC7A38"/>
    <w:rsid w:val="00F11C12"/>
    <w:rsid w:val="00F13305"/>
    <w:rsid w:val="00F2191C"/>
    <w:rsid w:val="00F55390"/>
    <w:rsid w:val="00F64B0D"/>
    <w:rsid w:val="00F67792"/>
    <w:rsid w:val="00F6791F"/>
    <w:rsid w:val="00F82604"/>
    <w:rsid w:val="00F8489B"/>
    <w:rsid w:val="00FB3B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774A"/>
    <w:pPr>
      <w:spacing w:after="160" w:line="259" w:lineRule="auto"/>
      <w:ind w:left="720"/>
      <w:contextualSpacing/>
    </w:pPr>
    <w:rPr>
      <w:rFonts w:ascii="Calibri" w:eastAsia="Calibri" w:hAnsi="Calibri" w:cs="Arial"/>
      <w:lang w:val="en-US"/>
    </w:rPr>
  </w:style>
  <w:style w:type="character" w:customStyle="1" w:styleId="ListParagraphChar">
    <w:name w:val="List Paragraph Char"/>
    <w:link w:val="ListParagraph"/>
    <w:uiPriority w:val="34"/>
    <w:rsid w:val="0072774A"/>
    <w:rPr>
      <w:rFonts w:ascii="Calibri" w:eastAsia="Calibri" w:hAnsi="Calibri" w:cs="Arial"/>
      <w:lang w:val="en-US"/>
    </w:rPr>
  </w:style>
  <w:style w:type="character" w:styleId="Hyperlink">
    <w:name w:val="Hyperlink"/>
    <w:basedOn w:val="DefaultParagraphFont"/>
    <w:uiPriority w:val="99"/>
    <w:unhideWhenUsed/>
    <w:rsid w:val="0072774A"/>
    <w:rPr>
      <w:color w:val="0000FF" w:themeColor="hyperlink"/>
      <w:u w:val="single"/>
    </w:rPr>
  </w:style>
  <w:style w:type="paragraph" w:styleId="Header">
    <w:name w:val="header"/>
    <w:basedOn w:val="Normal"/>
    <w:link w:val="HeaderChar"/>
    <w:uiPriority w:val="99"/>
    <w:unhideWhenUsed/>
    <w:rsid w:val="00086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5C"/>
  </w:style>
  <w:style w:type="paragraph" w:styleId="Footer">
    <w:name w:val="footer"/>
    <w:basedOn w:val="Normal"/>
    <w:link w:val="FooterChar"/>
    <w:uiPriority w:val="99"/>
    <w:unhideWhenUsed/>
    <w:rsid w:val="00086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5C"/>
  </w:style>
  <w:style w:type="paragraph" w:styleId="FootnoteText">
    <w:name w:val="footnote text"/>
    <w:basedOn w:val="Normal"/>
    <w:link w:val="FootnoteTextChar"/>
    <w:uiPriority w:val="99"/>
    <w:unhideWhenUsed/>
    <w:rsid w:val="005F7068"/>
    <w:pPr>
      <w:spacing w:after="0" w:line="240" w:lineRule="auto"/>
    </w:pPr>
    <w:rPr>
      <w:sz w:val="20"/>
      <w:szCs w:val="20"/>
    </w:rPr>
  </w:style>
  <w:style w:type="character" w:customStyle="1" w:styleId="FootnoteTextChar">
    <w:name w:val="Footnote Text Char"/>
    <w:basedOn w:val="DefaultParagraphFont"/>
    <w:link w:val="FootnoteText"/>
    <w:uiPriority w:val="99"/>
    <w:rsid w:val="005F7068"/>
    <w:rPr>
      <w:sz w:val="20"/>
      <w:szCs w:val="20"/>
    </w:rPr>
  </w:style>
  <w:style w:type="character" w:styleId="FootnoteReference">
    <w:name w:val="footnote reference"/>
    <w:basedOn w:val="DefaultParagraphFont"/>
    <w:uiPriority w:val="99"/>
    <w:semiHidden/>
    <w:unhideWhenUsed/>
    <w:rsid w:val="005F7068"/>
    <w:rPr>
      <w:vertAlign w:val="superscript"/>
    </w:rPr>
  </w:style>
  <w:style w:type="table" w:styleId="TableGrid">
    <w:name w:val="Table Grid"/>
    <w:basedOn w:val="TableNormal"/>
    <w:uiPriority w:val="59"/>
    <w:rsid w:val="00552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C118F1"/>
  </w:style>
  <w:style w:type="paragraph" w:styleId="EndnoteText">
    <w:name w:val="endnote text"/>
    <w:basedOn w:val="Normal"/>
    <w:link w:val="EndnoteTextChar"/>
    <w:uiPriority w:val="99"/>
    <w:semiHidden/>
    <w:unhideWhenUsed/>
    <w:rsid w:val="00C118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18F1"/>
    <w:rPr>
      <w:sz w:val="20"/>
      <w:szCs w:val="20"/>
    </w:rPr>
  </w:style>
  <w:style w:type="character" w:styleId="EndnoteReference">
    <w:name w:val="endnote reference"/>
    <w:basedOn w:val="DefaultParagraphFont"/>
    <w:uiPriority w:val="99"/>
    <w:semiHidden/>
    <w:unhideWhenUsed/>
    <w:rsid w:val="00C118F1"/>
    <w:rPr>
      <w:vertAlign w:val="superscript"/>
    </w:rPr>
  </w:style>
  <w:style w:type="character" w:styleId="Strong">
    <w:name w:val="Strong"/>
    <w:basedOn w:val="DefaultParagraphFont"/>
    <w:uiPriority w:val="22"/>
    <w:qFormat/>
    <w:rsid w:val="00290E2C"/>
    <w:rPr>
      <w:b/>
      <w:bCs/>
    </w:rPr>
  </w:style>
  <w:style w:type="paragraph" w:styleId="BalloonText">
    <w:name w:val="Balloon Text"/>
    <w:basedOn w:val="Normal"/>
    <w:link w:val="BalloonTextChar"/>
    <w:uiPriority w:val="99"/>
    <w:semiHidden/>
    <w:unhideWhenUsed/>
    <w:rsid w:val="0029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E2C"/>
    <w:rPr>
      <w:rFonts w:ascii="Tahoma" w:hAnsi="Tahoma" w:cs="Tahoma"/>
      <w:sz w:val="16"/>
      <w:szCs w:val="16"/>
    </w:rPr>
  </w:style>
  <w:style w:type="paragraph" w:styleId="HTMLPreformatted">
    <w:name w:val="HTML Preformatted"/>
    <w:basedOn w:val="Normal"/>
    <w:link w:val="HTMLPreformattedChar"/>
    <w:uiPriority w:val="99"/>
    <w:semiHidden/>
    <w:unhideWhenUsed/>
    <w:rsid w:val="0036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60DA7"/>
    <w:rPr>
      <w:rFonts w:ascii="Courier New" w:eastAsia="Times New Roman" w:hAnsi="Courier New" w:cs="Courier New"/>
      <w:sz w:val="20"/>
      <w:szCs w:val="20"/>
      <w:lang w:eastAsia="id-ID"/>
    </w:rPr>
  </w:style>
  <w:style w:type="character" w:customStyle="1" w:styleId="y2iqfc">
    <w:name w:val="y2iqfc"/>
    <w:basedOn w:val="DefaultParagraphFont"/>
    <w:rsid w:val="00360DA7"/>
  </w:style>
  <w:style w:type="character" w:customStyle="1" w:styleId="UnresolvedMention">
    <w:name w:val="Unresolved Mention"/>
    <w:basedOn w:val="DefaultParagraphFont"/>
    <w:uiPriority w:val="99"/>
    <w:semiHidden/>
    <w:unhideWhenUsed/>
    <w:rsid w:val="00DE0E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774A"/>
    <w:pPr>
      <w:spacing w:after="160" w:line="259" w:lineRule="auto"/>
      <w:ind w:left="720"/>
      <w:contextualSpacing/>
    </w:pPr>
    <w:rPr>
      <w:rFonts w:ascii="Calibri" w:eastAsia="Calibri" w:hAnsi="Calibri" w:cs="Arial"/>
      <w:lang w:val="en-US"/>
    </w:rPr>
  </w:style>
  <w:style w:type="character" w:customStyle="1" w:styleId="ListParagraphChar">
    <w:name w:val="List Paragraph Char"/>
    <w:link w:val="ListParagraph"/>
    <w:uiPriority w:val="34"/>
    <w:rsid w:val="0072774A"/>
    <w:rPr>
      <w:rFonts w:ascii="Calibri" w:eastAsia="Calibri" w:hAnsi="Calibri" w:cs="Arial"/>
      <w:lang w:val="en-US"/>
    </w:rPr>
  </w:style>
  <w:style w:type="character" w:styleId="Hyperlink">
    <w:name w:val="Hyperlink"/>
    <w:basedOn w:val="DefaultParagraphFont"/>
    <w:uiPriority w:val="99"/>
    <w:unhideWhenUsed/>
    <w:rsid w:val="0072774A"/>
    <w:rPr>
      <w:color w:val="0000FF" w:themeColor="hyperlink"/>
      <w:u w:val="single"/>
    </w:rPr>
  </w:style>
  <w:style w:type="paragraph" w:styleId="Header">
    <w:name w:val="header"/>
    <w:basedOn w:val="Normal"/>
    <w:link w:val="HeaderChar"/>
    <w:uiPriority w:val="99"/>
    <w:unhideWhenUsed/>
    <w:rsid w:val="00086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5C"/>
  </w:style>
  <w:style w:type="paragraph" w:styleId="Footer">
    <w:name w:val="footer"/>
    <w:basedOn w:val="Normal"/>
    <w:link w:val="FooterChar"/>
    <w:uiPriority w:val="99"/>
    <w:unhideWhenUsed/>
    <w:rsid w:val="00086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5C"/>
  </w:style>
  <w:style w:type="paragraph" w:styleId="FootnoteText">
    <w:name w:val="footnote text"/>
    <w:basedOn w:val="Normal"/>
    <w:link w:val="FootnoteTextChar"/>
    <w:uiPriority w:val="99"/>
    <w:unhideWhenUsed/>
    <w:rsid w:val="005F7068"/>
    <w:pPr>
      <w:spacing w:after="0" w:line="240" w:lineRule="auto"/>
    </w:pPr>
    <w:rPr>
      <w:sz w:val="20"/>
      <w:szCs w:val="20"/>
    </w:rPr>
  </w:style>
  <w:style w:type="character" w:customStyle="1" w:styleId="FootnoteTextChar">
    <w:name w:val="Footnote Text Char"/>
    <w:basedOn w:val="DefaultParagraphFont"/>
    <w:link w:val="FootnoteText"/>
    <w:uiPriority w:val="99"/>
    <w:rsid w:val="005F7068"/>
    <w:rPr>
      <w:sz w:val="20"/>
      <w:szCs w:val="20"/>
    </w:rPr>
  </w:style>
  <w:style w:type="character" w:styleId="FootnoteReference">
    <w:name w:val="footnote reference"/>
    <w:basedOn w:val="DefaultParagraphFont"/>
    <w:uiPriority w:val="99"/>
    <w:semiHidden/>
    <w:unhideWhenUsed/>
    <w:rsid w:val="005F7068"/>
    <w:rPr>
      <w:vertAlign w:val="superscript"/>
    </w:rPr>
  </w:style>
  <w:style w:type="table" w:styleId="TableGrid">
    <w:name w:val="Table Grid"/>
    <w:basedOn w:val="TableNormal"/>
    <w:uiPriority w:val="59"/>
    <w:rsid w:val="00552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C118F1"/>
  </w:style>
  <w:style w:type="paragraph" w:styleId="EndnoteText">
    <w:name w:val="endnote text"/>
    <w:basedOn w:val="Normal"/>
    <w:link w:val="EndnoteTextChar"/>
    <w:uiPriority w:val="99"/>
    <w:semiHidden/>
    <w:unhideWhenUsed/>
    <w:rsid w:val="00C118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18F1"/>
    <w:rPr>
      <w:sz w:val="20"/>
      <w:szCs w:val="20"/>
    </w:rPr>
  </w:style>
  <w:style w:type="character" w:styleId="EndnoteReference">
    <w:name w:val="endnote reference"/>
    <w:basedOn w:val="DefaultParagraphFont"/>
    <w:uiPriority w:val="99"/>
    <w:semiHidden/>
    <w:unhideWhenUsed/>
    <w:rsid w:val="00C118F1"/>
    <w:rPr>
      <w:vertAlign w:val="superscript"/>
    </w:rPr>
  </w:style>
  <w:style w:type="character" w:styleId="Strong">
    <w:name w:val="Strong"/>
    <w:basedOn w:val="DefaultParagraphFont"/>
    <w:uiPriority w:val="22"/>
    <w:qFormat/>
    <w:rsid w:val="00290E2C"/>
    <w:rPr>
      <w:b/>
      <w:bCs/>
    </w:rPr>
  </w:style>
  <w:style w:type="paragraph" w:styleId="BalloonText">
    <w:name w:val="Balloon Text"/>
    <w:basedOn w:val="Normal"/>
    <w:link w:val="BalloonTextChar"/>
    <w:uiPriority w:val="99"/>
    <w:semiHidden/>
    <w:unhideWhenUsed/>
    <w:rsid w:val="0029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E2C"/>
    <w:rPr>
      <w:rFonts w:ascii="Tahoma" w:hAnsi="Tahoma" w:cs="Tahoma"/>
      <w:sz w:val="16"/>
      <w:szCs w:val="16"/>
    </w:rPr>
  </w:style>
  <w:style w:type="paragraph" w:styleId="HTMLPreformatted">
    <w:name w:val="HTML Preformatted"/>
    <w:basedOn w:val="Normal"/>
    <w:link w:val="HTMLPreformattedChar"/>
    <w:uiPriority w:val="99"/>
    <w:semiHidden/>
    <w:unhideWhenUsed/>
    <w:rsid w:val="0036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60DA7"/>
    <w:rPr>
      <w:rFonts w:ascii="Courier New" w:eastAsia="Times New Roman" w:hAnsi="Courier New" w:cs="Courier New"/>
      <w:sz w:val="20"/>
      <w:szCs w:val="20"/>
      <w:lang w:eastAsia="id-ID"/>
    </w:rPr>
  </w:style>
  <w:style w:type="character" w:customStyle="1" w:styleId="y2iqfc">
    <w:name w:val="y2iqfc"/>
    <w:basedOn w:val="DefaultParagraphFont"/>
    <w:rsid w:val="00360DA7"/>
  </w:style>
  <w:style w:type="character" w:customStyle="1" w:styleId="UnresolvedMention">
    <w:name w:val="Unresolved Mention"/>
    <w:basedOn w:val="DefaultParagraphFont"/>
    <w:uiPriority w:val="99"/>
    <w:semiHidden/>
    <w:unhideWhenUsed/>
    <w:rsid w:val="00DE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8635">
      <w:bodyDiv w:val="1"/>
      <w:marLeft w:val="0"/>
      <w:marRight w:val="0"/>
      <w:marTop w:val="0"/>
      <w:marBottom w:val="0"/>
      <w:divBdr>
        <w:top w:val="none" w:sz="0" w:space="0" w:color="auto"/>
        <w:left w:val="none" w:sz="0" w:space="0" w:color="auto"/>
        <w:bottom w:val="none" w:sz="0" w:space="0" w:color="auto"/>
        <w:right w:val="none" w:sz="0" w:space="0" w:color="auto"/>
      </w:divBdr>
    </w:div>
    <w:div w:id="196238282">
      <w:bodyDiv w:val="1"/>
      <w:marLeft w:val="0"/>
      <w:marRight w:val="0"/>
      <w:marTop w:val="0"/>
      <w:marBottom w:val="0"/>
      <w:divBdr>
        <w:top w:val="none" w:sz="0" w:space="0" w:color="auto"/>
        <w:left w:val="none" w:sz="0" w:space="0" w:color="auto"/>
        <w:bottom w:val="none" w:sz="0" w:space="0" w:color="auto"/>
        <w:right w:val="none" w:sz="0" w:space="0" w:color="auto"/>
      </w:divBdr>
    </w:div>
    <w:div w:id="929000451">
      <w:bodyDiv w:val="1"/>
      <w:marLeft w:val="0"/>
      <w:marRight w:val="0"/>
      <w:marTop w:val="0"/>
      <w:marBottom w:val="0"/>
      <w:divBdr>
        <w:top w:val="none" w:sz="0" w:space="0" w:color="auto"/>
        <w:left w:val="none" w:sz="0" w:space="0" w:color="auto"/>
        <w:bottom w:val="none" w:sz="0" w:space="0" w:color="auto"/>
        <w:right w:val="none" w:sz="0" w:space="0" w:color="auto"/>
      </w:divBdr>
    </w:div>
    <w:div w:id="992754631">
      <w:bodyDiv w:val="1"/>
      <w:marLeft w:val="0"/>
      <w:marRight w:val="0"/>
      <w:marTop w:val="0"/>
      <w:marBottom w:val="0"/>
      <w:divBdr>
        <w:top w:val="none" w:sz="0" w:space="0" w:color="auto"/>
        <w:left w:val="none" w:sz="0" w:space="0" w:color="auto"/>
        <w:bottom w:val="none" w:sz="0" w:space="0" w:color="auto"/>
        <w:right w:val="none" w:sz="0" w:space="0" w:color="auto"/>
      </w:divBdr>
    </w:div>
    <w:div w:id="1237671289">
      <w:bodyDiv w:val="1"/>
      <w:marLeft w:val="0"/>
      <w:marRight w:val="0"/>
      <w:marTop w:val="0"/>
      <w:marBottom w:val="0"/>
      <w:divBdr>
        <w:top w:val="none" w:sz="0" w:space="0" w:color="auto"/>
        <w:left w:val="none" w:sz="0" w:space="0" w:color="auto"/>
        <w:bottom w:val="none" w:sz="0" w:space="0" w:color="auto"/>
        <w:right w:val="none" w:sz="0" w:space="0" w:color="auto"/>
      </w:divBdr>
    </w:div>
    <w:div w:id="13548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salfiah706@gmail.com2"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6CBB-2BE4-44D4-9BD9-1F96A4AE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Natural</dc:creator>
  <cp:lastModifiedBy>ASUS</cp:lastModifiedBy>
  <cp:revision>17</cp:revision>
  <cp:lastPrinted>2023-06-30T03:47:00Z</cp:lastPrinted>
  <dcterms:created xsi:type="dcterms:W3CDTF">2023-06-29T16:18:00Z</dcterms:created>
  <dcterms:modified xsi:type="dcterms:W3CDTF">2023-06-30T03:47:00Z</dcterms:modified>
</cp:coreProperties>
</file>